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BA6DC" w14:textId="48AF4EA6" w:rsidR="0049161A" w:rsidRDefault="00A46FF5" w:rsidP="00CD6560">
      <w:pPr>
        <w:jc w:val="center"/>
        <w:rPr>
          <w:b/>
          <w:bCs/>
          <w:sz w:val="32"/>
          <w:szCs w:val="32"/>
        </w:rPr>
      </w:pPr>
      <w:r w:rsidRPr="00A73829">
        <w:rPr>
          <w:b/>
          <w:bCs/>
          <w:color w:val="000000" w:themeColor="text1"/>
          <w:sz w:val="32"/>
          <w:szCs w:val="32"/>
        </w:rPr>
        <w:t xml:space="preserve">Hospital </w:t>
      </w:r>
      <w:r w:rsidR="0042306E" w:rsidRPr="00A73829">
        <w:rPr>
          <w:b/>
          <w:bCs/>
          <w:color w:val="000000" w:themeColor="text1"/>
          <w:sz w:val="32"/>
          <w:szCs w:val="32"/>
        </w:rPr>
        <w:t>P</w:t>
      </w:r>
      <w:r w:rsidR="00F823D4" w:rsidRPr="00A73829">
        <w:rPr>
          <w:b/>
          <w:bCs/>
          <w:color w:val="000000" w:themeColor="text1"/>
          <w:sz w:val="32"/>
          <w:szCs w:val="32"/>
        </w:rPr>
        <w:t>harmacists’ opinion</w:t>
      </w:r>
      <w:r w:rsidRPr="00A73829">
        <w:rPr>
          <w:b/>
          <w:bCs/>
          <w:color w:val="000000" w:themeColor="text1"/>
          <w:sz w:val="32"/>
          <w:szCs w:val="32"/>
        </w:rPr>
        <w:t>s</w:t>
      </w:r>
      <w:r w:rsidR="001B568B" w:rsidRPr="00A73829">
        <w:rPr>
          <w:b/>
          <w:bCs/>
          <w:color w:val="000000" w:themeColor="text1"/>
          <w:sz w:val="32"/>
          <w:szCs w:val="32"/>
        </w:rPr>
        <w:t xml:space="preserve"> </w:t>
      </w:r>
      <w:r w:rsidR="001B568B" w:rsidRPr="00A73829">
        <w:rPr>
          <w:b/>
          <w:bCs/>
          <w:sz w:val="32"/>
          <w:szCs w:val="32"/>
        </w:rPr>
        <w:t>on a</w:t>
      </w:r>
      <w:r w:rsidR="0042306E" w:rsidRPr="00A73829">
        <w:rPr>
          <w:b/>
          <w:bCs/>
          <w:sz w:val="32"/>
          <w:szCs w:val="32"/>
        </w:rPr>
        <w:t xml:space="preserve"> risk prediction tool for </w:t>
      </w:r>
      <w:r w:rsidR="001B568B" w:rsidRPr="00A73829">
        <w:rPr>
          <w:b/>
          <w:bCs/>
          <w:sz w:val="32"/>
          <w:szCs w:val="32"/>
        </w:rPr>
        <w:t>medication-related harm</w:t>
      </w:r>
      <w:r w:rsidR="0042306E" w:rsidRPr="00A73829">
        <w:rPr>
          <w:b/>
          <w:bCs/>
          <w:sz w:val="32"/>
          <w:szCs w:val="32"/>
        </w:rPr>
        <w:t xml:space="preserve"> in older people</w:t>
      </w:r>
    </w:p>
    <w:p w14:paraId="0868FF70" w14:textId="3F1C29F4" w:rsidR="00EE42C0" w:rsidRDefault="00EE42C0" w:rsidP="00CD6560">
      <w:pPr>
        <w:jc w:val="center"/>
        <w:rPr>
          <w:b/>
          <w:bCs/>
          <w:sz w:val="32"/>
          <w:szCs w:val="32"/>
        </w:rPr>
      </w:pPr>
    </w:p>
    <w:p w14:paraId="3FDC971B" w14:textId="77777777" w:rsidR="00EE42C0" w:rsidRDefault="00EE42C0" w:rsidP="00EE42C0">
      <w:pPr>
        <w:jc w:val="both"/>
        <w:outlineLvl w:val="0"/>
      </w:pPr>
      <w:r w:rsidRPr="00A73829">
        <w:t>Ahmed Hussain</w:t>
      </w:r>
      <w:r w:rsidRPr="00A73829">
        <w:rPr>
          <w:vertAlign w:val="superscript"/>
        </w:rPr>
        <w:t>1</w:t>
      </w:r>
      <w:r>
        <w:rPr>
          <w:vertAlign w:val="superscript"/>
        </w:rPr>
        <w:t>,2</w:t>
      </w:r>
      <w:r w:rsidRPr="00A73829">
        <w:t>, Khalid Ali</w:t>
      </w:r>
      <w:r>
        <w:rPr>
          <w:vertAlign w:val="superscript"/>
        </w:rPr>
        <w:t>2</w:t>
      </w:r>
      <w:r w:rsidRPr="00A73829">
        <w:rPr>
          <w:vertAlign w:val="superscript"/>
        </w:rPr>
        <w:t>,</w:t>
      </w:r>
      <w:r>
        <w:rPr>
          <w:vertAlign w:val="superscript"/>
        </w:rPr>
        <w:t>3</w:t>
      </w:r>
      <w:r w:rsidRPr="00A73829">
        <w:t>, J. Graham Davies</w:t>
      </w:r>
      <w:r>
        <w:rPr>
          <w:vertAlign w:val="superscript"/>
        </w:rPr>
        <w:t>4</w:t>
      </w:r>
      <w:r w:rsidRPr="00A73829">
        <w:rPr>
          <w:vertAlign w:val="superscript"/>
        </w:rPr>
        <w:t>,</w:t>
      </w:r>
      <w:r>
        <w:rPr>
          <w:vertAlign w:val="superscript"/>
        </w:rPr>
        <w:t>5</w:t>
      </w:r>
      <w:r w:rsidRPr="009F16A2">
        <w:t>,</w:t>
      </w:r>
      <w:r>
        <w:rPr>
          <w:vertAlign w:val="superscript"/>
        </w:rPr>
        <w:t xml:space="preserve"> </w:t>
      </w:r>
      <w:r w:rsidRPr="00A73829">
        <w:t>Jennifer M Stevenson</w:t>
      </w:r>
      <w:r>
        <w:rPr>
          <w:vertAlign w:val="superscript"/>
        </w:rPr>
        <w:t>4,6</w:t>
      </w:r>
      <w:r w:rsidRPr="00A73829">
        <w:t>,</w:t>
      </w:r>
      <w:r>
        <w:t xml:space="preserve"> </w:t>
      </w:r>
      <w:r w:rsidRPr="00A73829">
        <w:t>Samantha Lippett</w:t>
      </w:r>
      <w:r>
        <w:rPr>
          <w:vertAlign w:val="superscript"/>
        </w:rPr>
        <w:t>7</w:t>
      </w:r>
      <w:r w:rsidRPr="00A73829">
        <w:t>, Mairead O’Malley</w:t>
      </w:r>
      <w:r>
        <w:rPr>
          <w:vertAlign w:val="superscript"/>
        </w:rPr>
        <w:t>7</w:t>
      </w:r>
      <w:r>
        <w:t xml:space="preserve">, </w:t>
      </w:r>
      <w:r w:rsidRPr="00A73829">
        <w:t>Nikesh Parekh</w:t>
      </w:r>
      <w:r>
        <w:rPr>
          <w:vertAlign w:val="superscript"/>
        </w:rPr>
        <w:t>2</w:t>
      </w:r>
      <w:r w:rsidRPr="00A73829">
        <w:rPr>
          <w:vertAlign w:val="superscript"/>
        </w:rPr>
        <w:t>,</w:t>
      </w:r>
      <w:r>
        <w:rPr>
          <w:vertAlign w:val="superscript"/>
        </w:rPr>
        <w:t>3</w:t>
      </w:r>
      <w:r w:rsidRPr="00A73829">
        <w:t>,</w:t>
      </w:r>
      <w:r w:rsidRPr="00A07A0B">
        <w:t xml:space="preserve"> </w:t>
      </w:r>
      <w:proofErr w:type="spellStart"/>
      <w:r w:rsidRPr="00A73829">
        <w:t>Chakravarthi</w:t>
      </w:r>
      <w:proofErr w:type="spellEnd"/>
      <w:r w:rsidRPr="00A73829">
        <w:t xml:space="preserve"> Rajkumar</w:t>
      </w:r>
      <w:r>
        <w:rPr>
          <w:vertAlign w:val="superscript"/>
        </w:rPr>
        <w:t>2</w:t>
      </w:r>
      <w:r w:rsidRPr="00A73829">
        <w:rPr>
          <w:vertAlign w:val="superscript"/>
        </w:rPr>
        <w:t>,</w:t>
      </w:r>
      <w:r>
        <w:rPr>
          <w:vertAlign w:val="superscript"/>
        </w:rPr>
        <w:t>3</w:t>
      </w:r>
      <w:r w:rsidRPr="00A73829">
        <w:t xml:space="preserve"> </w:t>
      </w:r>
    </w:p>
    <w:p w14:paraId="0C9DC49F" w14:textId="77777777" w:rsidR="00EE42C0" w:rsidRDefault="00EE42C0" w:rsidP="00EE42C0">
      <w:pPr>
        <w:jc w:val="both"/>
        <w:outlineLvl w:val="0"/>
      </w:pPr>
    </w:p>
    <w:p w14:paraId="1B8CCB20" w14:textId="77777777" w:rsidR="00EE42C0" w:rsidRPr="006A4228" w:rsidRDefault="00EE42C0" w:rsidP="00EE42C0">
      <w:pPr>
        <w:pStyle w:val="NoSpacing"/>
        <w:rPr>
          <w:rFonts w:ascii="Times New Roman" w:hAnsi="Times New Roman" w:cs="Times New Roman"/>
          <w:b/>
          <w:bCs/>
          <w:i/>
          <w:iCs/>
          <w:color w:val="FF0000"/>
        </w:rPr>
      </w:pPr>
      <w:r w:rsidRPr="001B0F56">
        <w:rPr>
          <w:rFonts w:ascii="Times New Roman" w:hAnsi="Times New Roman" w:cs="Times New Roman"/>
          <w:b/>
          <w:bCs/>
        </w:rPr>
        <w:t>Short title:</w:t>
      </w:r>
      <w:r>
        <w:rPr>
          <w:rFonts w:ascii="Times New Roman" w:hAnsi="Times New Roman" w:cs="Times New Roman"/>
        </w:rPr>
        <w:t xml:space="preserve"> Pharmacy opinion on medicine risk tool</w:t>
      </w:r>
    </w:p>
    <w:p w14:paraId="0359496B" w14:textId="77777777" w:rsidR="00EE42C0" w:rsidRPr="00A73829" w:rsidRDefault="00EE42C0" w:rsidP="00EE42C0">
      <w:pPr>
        <w:jc w:val="both"/>
        <w:outlineLvl w:val="0"/>
      </w:pPr>
    </w:p>
    <w:p w14:paraId="13624998" w14:textId="77777777" w:rsidR="00EE42C0" w:rsidRPr="00A73829" w:rsidRDefault="00EE42C0" w:rsidP="00EE42C0">
      <w:pPr>
        <w:jc w:val="both"/>
        <w:outlineLvl w:val="0"/>
        <w:rPr>
          <w:b/>
          <w:bCs/>
        </w:rPr>
      </w:pPr>
      <w:r w:rsidRPr="00A73829">
        <w:rPr>
          <w:b/>
          <w:bCs/>
        </w:rPr>
        <w:t>Affiliations</w:t>
      </w:r>
    </w:p>
    <w:p w14:paraId="3CADF6C7" w14:textId="77777777" w:rsidR="00EE42C0" w:rsidRPr="002F3FBD" w:rsidRDefault="00EE42C0" w:rsidP="00EE42C0">
      <w:pPr>
        <w:pStyle w:val="NormalWeb"/>
      </w:pPr>
      <w:r>
        <w:rPr>
          <w:vertAlign w:val="superscript"/>
        </w:rPr>
        <w:t>1</w:t>
      </w:r>
      <w:r>
        <w:t>Barts and The London NHS Trust, London, UK</w:t>
      </w:r>
    </w:p>
    <w:p w14:paraId="78E110B9" w14:textId="77777777" w:rsidR="00EE42C0" w:rsidRDefault="00EE42C0" w:rsidP="00EE42C0">
      <w:pPr>
        <w:pStyle w:val="NormalWeb"/>
      </w:pPr>
      <w:r>
        <w:rPr>
          <w:vertAlign w:val="superscript"/>
        </w:rPr>
        <w:t>2</w:t>
      </w:r>
      <w:r w:rsidRPr="00A73829">
        <w:t>Department of Elderly Medicine, University Hospitals Sussex NHS Foundation Trust, Sussex, UK</w:t>
      </w:r>
    </w:p>
    <w:p w14:paraId="6D4B80A4" w14:textId="77777777" w:rsidR="00EE42C0" w:rsidRPr="00A73829" w:rsidRDefault="00EE42C0" w:rsidP="00EE42C0">
      <w:pPr>
        <w:pStyle w:val="NormalWeb"/>
      </w:pPr>
      <w:r>
        <w:rPr>
          <w:vertAlign w:val="superscript"/>
        </w:rPr>
        <w:t>3</w:t>
      </w:r>
      <w:r w:rsidRPr="00A73829">
        <w:t>Academic Department of Geriatric Medicine, Brighton and Sussex Medical School, Brighton, East Sussex, UK</w:t>
      </w:r>
    </w:p>
    <w:p w14:paraId="0493021A" w14:textId="77777777" w:rsidR="00EE42C0" w:rsidRDefault="00EE42C0" w:rsidP="00EE42C0">
      <w:pPr>
        <w:pStyle w:val="NormalWeb"/>
      </w:pPr>
      <w:r>
        <w:rPr>
          <w:vertAlign w:val="superscript"/>
        </w:rPr>
        <w:t>4</w:t>
      </w:r>
      <w:r w:rsidRPr="00A73829">
        <w:t>Institute of Pharmaceutical Science, King’s College London, London, UK</w:t>
      </w:r>
    </w:p>
    <w:p w14:paraId="16C44FED" w14:textId="77777777" w:rsidR="00EE42C0" w:rsidRPr="009F16A2" w:rsidRDefault="00EE42C0" w:rsidP="00EE42C0">
      <w:pPr>
        <w:pStyle w:val="NormalWeb"/>
        <w:rPr>
          <w:color w:val="000000" w:themeColor="text1"/>
        </w:rPr>
      </w:pPr>
      <w:r>
        <w:rPr>
          <w:color w:val="000000" w:themeColor="text1"/>
          <w:vertAlign w:val="superscript"/>
        </w:rPr>
        <w:t>5</w:t>
      </w:r>
      <w:r w:rsidRPr="00A73829">
        <w:rPr>
          <w:color w:val="000000" w:themeColor="text1"/>
        </w:rPr>
        <w:t>School of Applied Sciences, University of Brighton, Brighton, East Sussex, UK</w:t>
      </w:r>
    </w:p>
    <w:p w14:paraId="043AFE95" w14:textId="77777777" w:rsidR="00EE42C0" w:rsidRPr="00A73829" w:rsidRDefault="00EE42C0" w:rsidP="00EE42C0">
      <w:pPr>
        <w:pStyle w:val="NormalWeb"/>
        <w:rPr>
          <w:color w:val="000000" w:themeColor="text1"/>
        </w:rPr>
      </w:pPr>
      <w:r>
        <w:rPr>
          <w:color w:val="000000" w:themeColor="text1"/>
          <w:vertAlign w:val="superscript"/>
        </w:rPr>
        <w:t>6</w:t>
      </w:r>
      <w:r w:rsidRPr="00A73829">
        <w:rPr>
          <w:color w:val="000000" w:themeColor="text1"/>
        </w:rPr>
        <w:t>Pharmacy Department, Guy’s and St. Thomas’ NHS Foundation Trust, London, UK</w:t>
      </w:r>
    </w:p>
    <w:p w14:paraId="6645588B" w14:textId="77777777" w:rsidR="00EE42C0" w:rsidRPr="00A73829" w:rsidRDefault="00EE42C0" w:rsidP="00EE42C0">
      <w:pPr>
        <w:pStyle w:val="NormalWeb"/>
      </w:pPr>
      <w:r>
        <w:rPr>
          <w:color w:val="000000" w:themeColor="text1"/>
          <w:vertAlign w:val="superscript"/>
        </w:rPr>
        <w:t>7</w:t>
      </w:r>
      <w:r w:rsidRPr="00A73829">
        <w:rPr>
          <w:color w:val="000000" w:themeColor="text1"/>
        </w:rPr>
        <w:t xml:space="preserve">Pharmacy Department, University </w:t>
      </w:r>
      <w:r w:rsidRPr="00A73829">
        <w:t>Hospitals Sussex NHS Foundation Trust, Sussex, UK</w:t>
      </w:r>
    </w:p>
    <w:p w14:paraId="0D62B21A" w14:textId="77777777" w:rsidR="00EE42C0" w:rsidRPr="00A73829" w:rsidRDefault="00EE42C0" w:rsidP="00EE42C0">
      <w:pPr>
        <w:pStyle w:val="NoSpacing"/>
        <w:rPr>
          <w:rFonts w:ascii="Times New Roman" w:hAnsi="Times New Roman" w:cs="Times New Roman"/>
        </w:rPr>
      </w:pPr>
      <w:r w:rsidRPr="00A73829">
        <w:rPr>
          <w:rFonts w:ascii="Times New Roman" w:hAnsi="Times New Roman" w:cs="Times New Roman"/>
          <w:b/>
          <w:bCs/>
        </w:rPr>
        <w:t>Corresponding Author:</w:t>
      </w:r>
      <w:r w:rsidRPr="00A73829">
        <w:rPr>
          <w:rFonts w:ascii="Times New Roman" w:hAnsi="Times New Roman" w:cs="Times New Roman"/>
        </w:rPr>
        <w:t xml:space="preserve"> Khalid Ali</w:t>
      </w:r>
    </w:p>
    <w:p w14:paraId="1E574E9D" w14:textId="77777777" w:rsidR="00EE42C0" w:rsidRPr="00A73829" w:rsidRDefault="00EE42C0" w:rsidP="00EE42C0">
      <w:pPr>
        <w:pStyle w:val="NoSpacing"/>
        <w:rPr>
          <w:rFonts w:ascii="Times New Roman" w:hAnsi="Times New Roman" w:cs="Times New Roman"/>
        </w:rPr>
      </w:pPr>
      <w:r w:rsidRPr="00A73829">
        <w:rPr>
          <w:rFonts w:ascii="Times New Roman" w:hAnsi="Times New Roman" w:cs="Times New Roman"/>
          <w:b/>
          <w:bCs/>
        </w:rPr>
        <w:t>Email:</w:t>
      </w:r>
      <w:r w:rsidRPr="00A73829">
        <w:rPr>
          <w:rFonts w:ascii="Times New Roman" w:hAnsi="Times New Roman" w:cs="Times New Roman"/>
        </w:rPr>
        <w:t xml:space="preserve"> </w:t>
      </w:r>
      <w:hyperlink r:id="rId8" w:history="1">
        <w:r w:rsidRPr="00A73829">
          <w:rPr>
            <w:rStyle w:val="Hyperlink"/>
            <w:rFonts w:ascii="Times New Roman" w:hAnsi="Times New Roman" w:cs="Times New Roman"/>
          </w:rPr>
          <w:t>khalid.ali10@nhs.net</w:t>
        </w:r>
      </w:hyperlink>
      <w:r w:rsidRPr="00A73829">
        <w:rPr>
          <w:rFonts w:ascii="Times New Roman" w:hAnsi="Times New Roman" w:cs="Times New Roman"/>
        </w:rPr>
        <w:t xml:space="preserve"> </w:t>
      </w:r>
    </w:p>
    <w:p w14:paraId="166F953C" w14:textId="77777777" w:rsidR="00EE42C0" w:rsidRPr="00A73829" w:rsidRDefault="00EE42C0" w:rsidP="00EE42C0">
      <w:pPr>
        <w:pStyle w:val="NoSpacing"/>
        <w:rPr>
          <w:rFonts w:ascii="Times New Roman" w:hAnsi="Times New Roman" w:cs="Times New Roman"/>
        </w:rPr>
      </w:pPr>
      <w:r w:rsidRPr="00A73829">
        <w:rPr>
          <w:rFonts w:ascii="Times New Roman" w:hAnsi="Times New Roman" w:cs="Times New Roman"/>
          <w:b/>
          <w:bCs/>
        </w:rPr>
        <w:t>Address:</w:t>
      </w:r>
      <w:r w:rsidRPr="00A73829">
        <w:rPr>
          <w:rFonts w:ascii="Times New Roman" w:hAnsi="Times New Roman" w:cs="Times New Roman"/>
        </w:rPr>
        <w:t xml:space="preserve"> Audrey Emerton Building, Royal Sussex County Hospital, Eastern Road, Brighton, BN2 5BE</w:t>
      </w:r>
    </w:p>
    <w:p w14:paraId="51BCDB1D" w14:textId="77777777" w:rsidR="00EE42C0" w:rsidRDefault="00EE42C0" w:rsidP="00EE42C0">
      <w:pPr>
        <w:rPr>
          <w:b/>
          <w:bCs/>
          <w:color w:val="000000" w:themeColor="text1"/>
        </w:rPr>
      </w:pPr>
    </w:p>
    <w:p w14:paraId="552EC9D7" w14:textId="77777777" w:rsidR="00EE42C0" w:rsidRPr="00684FF9" w:rsidRDefault="00EE42C0" w:rsidP="00EE42C0">
      <w:pPr>
        <w:rPr>
          <w:color w:val="FF0000"/>
        </w:rPr>
      </w:pPr>
      <w:r w:rsidRPr="00650102">
        <w:rPr>
          <w:b/>
          <w:bCs/>
          <w:color w:val="000000" w:themeColor="text1"/>
        </w:rPr>
        <w:t>Word Count Abstract:</w:t>
      </w:r>
      <w:r w:rsidRPr="00650102">
        <w:rPr>
          <w:color w:val="000000" w:themeColor="text1"/>
        </w:rPr>
        <w:t xml:space="preserve"> 2</w:t>
      </w:r>
      <w:r>
        <w:rPr>
          <w:color w:val="000000" w:themeColor="text1"/>
        </w:rPr>
        <w:t xml:space="preserve">50 </w:t>
      </w:r>
    </w:p>
    <w:p w14:paraId="7F0222EE" w14:textId="77777777" w:rsidR="00EE42C0" w:rsidRPr="004A7EC3" w:rsidRDefault="00EE42C0" w:rsidP="00EE42C0">
      <w:r w:rsidRPr="004A7EC3">
        <w:rPr>
          <w:b/>
          <w:bCs/>
        </w:rPr>
        <w:t>Word Count Manuscript:</w:t>
      </w:r>
      <w:r w:rsidRPr="004A7EC3">
        <w:t xml:space="preserve"> 3</w:t>
      </w:r>
      <w:r>
        <w:t>069</w:t>
      </w:r>
      <w:r w:rsidRPr="004A7EC3">
        <w:t xml:space="preserve"> </w:t>
      </w:r>
    </w:p>
    <w:p w14:paraId="1002FEE6" w14:textId="77777777" w:rsidR="00EE42C0" w:rsidRPr="004A7EC3" w:rsidRDefault="00EE42C0" w:rsidP="00EE42C0">
      <w:pPr>
        <w:rPr>
          <w:color w:val="FF0000"/>
        </w:rPr>
      </w:pPr>
      <w:r w:rsidRPr="004A7EC3">
        <w:rPr>
          <w:b/>
          <w:bCs/>
          <w:color w:val="000000" w:themeColor="text1"/>
        </w:rPr>
        <w:t>References:</w:t>
      </w:r>
      <w:r w:rsidRPr="004A7EC3">
        <w:rPr>
          <w:color w:val="000000" w:themeColor="text1"/>
        </w:rPr>
        <w:t xml:space="preserve"> 2</w:t>
      </w:r>
      <w:r>
        <w:rPr>
          <w:color w:val="000000" w:themeColor="text1"/>
        </w:rPr>
        <w:t>3</w:t>
      </w:r>
    </w:p>
    <w:p w14:paraId="5DF96989" w14:textId="77777777" w:rsidR="00EE42C0" w:rsidRPr="004A7EC3" w:rsidRDefault="00EE42C0" w:rsidP="00EE42C0">
      <w:r w:rsidRPr="004A7EC3">
        <w:rPr>
          <w:b/>
          <w:bCs/>
        </w:rPr>
        <w:t>Number of Figures:</w:t>
      </w:r>
      <w:r w:rsidRPr="004A7EC3">
        <w:t xml:space="preserve"> 1</w:t>
      </w:r>
    </w:p>
    <w:p w14:paraId="44529E83" w14:textId="77777777" w:rsidR="00EE42C0" w:rsidRPr="004A7EC3" w:rsidRDefault="00EE42C0" w:rsidP="00EE42C0">
      <w:r w:rsidRPr="004A7EC3">
        <w:rPr>
          <w:b/>
          <w:bCs/>
        </w:rPr>
        <w:t>Number of Tables:</w:t>
      </w:r>
      <w:r w:rsidRPr="004A7EC3">
        <w:t xml:space="preserve"> 2</w:t>
      </w:r>
    </w:p>
    <w:p w14:paraId="3097D717" w14:textId="77777777" w:rsidR="00EE42C0" w:rsidRPr="004A7EC3" w:rsidRDefault="00EE42C0" w:rsidP="00EE42C0">
      <w:pPr>
        <w:pStyle w:val="NoSpacing"/>
        <w:rPr>
          <w:rFonts w:ascii="Times New Roman" w:hAnsi="Times New Roman" w:cs="Times New Roman"/>
          <w:b/>
          <w:bCs/>
        </w:rPr>
      </w:pPr>
    </w:p>
    <w:p w14:paraId="4C235C7B" w14:textId="77777777" w:rsidR="00EE42C0" w:rsidRPr="004A7EC3" w:rsidRDefault="00EE42C0" w:rsidP="00EE42C0">
      <w:pPr>
        <w:pStyle w:val="NoSpacing"/>
        <w:rPr>
          <w:rFonts w:ascii="Times New Roman" w:hAnsi="Times New Roman" w:cs="Times New Roman"/>
        </w:rPr>
      </w:pPr>
      <w:r w:rsidRPr="004A7EC3">
        <w:rPr>
          <w:rFonts w:ascii="Times New Roman" w:hAnsi="Times New Roman" w:cs="Times New Roman"/>
          <w:b/>
          <w:bCs/>
        </w:rPr>
        <w:t>Keywords:</w:t>
      </w:r>
      <w:r w:rsidRPr="004A7EC3">
        <w:rPr>
          <w:rFonts w:ascii="Times New Roman" w:hAnsi="Times New Roman" w:cs="Times New Roman"/>
        </w:rPr>
        <w:t xml:space="preserve"> </w:t>
      </w:r>
      <w:r w:rsidRPr="004A7EC3">
        <w:rPr>
          <w:rFonts w:ascii="Times New Roman" w:hAnsi="Times New Roman" w:cs="Times New Roman"/>
          <w:color w:val="000000" w:themeColor="text1"/>
        </w:rPr>
        <w:t xml:space="preserve">polypharmacy, medicines, older adults, frailty, risk prediction, risk assessment </w:t>
      </w:r>
    </w:p>
    <w:p w14:paraId="039FAD55" w14:textId="77777777" w:rsidR="00EE42C0" w:rsidRDefault="00EE42C0" w:rsidP="00EE42C0">
      <w:pPr>
        <w:jc w:val="both"/>
      </w:pPr>
    </w:p>
    <w:p w14:paraId="1FC956C5" w14:textId="77777777" w:rsidR="00EE42C0" w:rsidRDefault="00EE42C0" w:rsidP="00EE42C0">
      <w:r w:rsidRPr="004528B1">
        <w:rPr>
          <w:b/>
          <w:bCs/>
        </w:rPr>
        <w:t>Conflicts of interest/Competing interests:</w:t>
      </w:r>
      <w:r>
        <w:t xml:space="preserve"> No conflicts of interest to declare.</w:t>
      </w:r>
    </w:p>
    <w:p w14:paraId="0A128296" w14:textId="77777777" w:rsidR="00EE42C0" w:rsidRDefault="00EE42C0" w:rsidP="00EE42C0">
      <w:pPr>
        <w:jc w:val="both"/>
        <w:rPr>
          <w:b/>
          <w:bCs/>
        </w:rPr>
      </w:pPr>
    </w:p>
    <w:p w14:paraId="03285EC1" w14:textId="77777777" w:rsidR="00EE42C0" w:rsidRPr="00892F7F" w:rsidRDefault="00EE42C0" w:rsidP="00EE42C0">
      <w:pPr>
        <w:jc w:val="both"/>
      </w:pPr>
      <w:r w:rsidRPr="00762A03">
        <w:rPr>
          <w:b/>
          <w:bCs/>
        </w:rPr>
        <w:t>Acknowledgements</w:t>
      </w:r>
      <w:r>
        <w:rPr>
          <w:b/>
          <w:bCs/>
        </w:rPr>
        <w:t xml:space="preserve">: </w:t>
      </w:r>
      <w:r>
        <w:t>None.</w:t>
      </w:r>
    </w:p>
    <w:p w14:paraId="3EC7D6AC" w14:textId="77777777" w:rsidR="00EE42C0" w:rsidRDefault="00EE42C0" w:rsidP="00EE42C0">
      <w:pPr>
        <w:jc w:val="both"/>
      </w:pPr>
    </w:p>
    <w:p w14:paraId="1383660C" w14:textId="77777777" w:rsidR="00EE42C0" w:rsidRPr="006A11D9" w:rsidRDefault="00EE42C0" w:rsidP="00EE42C0">
      <w:r w:rsidRPr="004528B1">
        <w:rPr>
          <w:b/>
          <w:bCs/>
        </w:rPr>
        <w:t>Funding:</w:t>
      </w:r>
      <w:r>
        <w:t xml:space="preserve"> There was no funding for this research.</w:t>
      </w:r>
    </w:p>
    <w:p w14:paraId="32EE9182" w14:textId="77777777" w:rsidR="00EE42C0" w:rsidRDefault="00EE42C0" w:rsidP="00EE42C0"/>
    <w:p w14:paraId="0550F615" w14:textId="77777777" w:rsidR="00EE42C0" w:rsidRPr="009F0648" w:rsidRDefault="00EE42C0" w:rsidP="00EE42C0">
      <w:pPr>
        <w:rPr>
          <w:b/>
          <w:bCs/>
        </w:rPr>
      </w:pPr>
      <w:r w:rsidRPr="009F0648">
        <w:rPr>
          <w:b/>
          <w:bCs/>
        </w:rPr>
        <w:t>Availability of data and material:</w:t>
      </w:r>
      <w:r>
        <w:rPr>
          <w:b/>
          <w:bCs/>
        </w:rPr>
        <w:t xml:space="preserve"> </w:t>
      </w:r>
      <w:r w:rsidRPr="00BD35F3">
        <w:t>The data that support the findings of this study are available from the corresponding author upon reasonable request.</w:t>
      </w:r>
    </w:p>
    <w:p w14:paraId="0DFD2C8B" w14:textId="77777777" w:rsidR="00EE42C0" w:rsidRDefault="00EE42C0" w:rsidP="00EE42C0">
      <w:pPr>
        <w:jc w:val="both"/>
      </w:pPr>
    </w:p>
    <w:p w14:paraId="44A28AB7" w14:textId="77777777" w:rsidR="00EE42C0" w:rsidRPr="004A7EC3" w:rsidRDefault="00EE42C0" w:rsidP="00EE42C0">
      <w:pPr>
        <w:jc w:val="both"/>
        <w:rPr>
          <w:color w:val="000000" w:themeColor="text1"/>
        </w:rPr>
      </w:pPr>
      <w:r>
        <w:rPr>
          <w:b/>
          <w:bCs/>
        </w:rPr>
        <w:lastRenderedPageBreak/>
        <w:t xml:space="preserve">Ethics </w:t>
      </w:r>
      <w:r w:rsidRPr="004A7EC3">
        <w:rPr>
          <w:b/>
          <w:bCs/>
        </w:rPr>
        <w:t>statement:</w:t>
      </w:r>
      <w:r w:rsidRPr="004A7EC3">
        <w:rPr>
          <w:color w:val="000000" w:themeColor="text1"/>
        </w:rPr>
        <w:t xml:space="preserve"> No ethical approval was required. </w:t>
      </w:r>
      <w:r w:rsidRPr="004A7EC3">
        <w:t xml:space="preserve">The study was </w:t>
      </w:r>
      <w:r w:rsidRPr="004A7EC3">
        <w:rPr>
          <w:color w:val="000000" w:themeColor="text1"/>
        </w:rPr>
        <w:t xml:space="preserve">registered with the local Pharmacy Research and Audit Group at Royal Sussex County Hospital (reference: </w:t>
      </w:r>
      <w:r w:rsidRPr="004A7EC3">
        <w:rPr>
          <w:color w:val="000000"/>
        </w:rPr>
        <w:t>PRAGSEP20/01</w:t>
      </w:r>
      <w:r w:rsidRPr="004A7EC3">
        <w:t>)</w:t>
      </w:r>
      <w:r w:rsidRPr="004A7EC3">
        <w:rPr>
          <w:color w:val="000000" w:themeColor="text1"/>
        </w:rPr>
        <w:t>.</w:t>
      </w:r>
    </w:p>
    <w:p w14:paraId="2AB06D7E" w14:textId="77777777" w:rsidR="00EE42C0" w:rsidRDefault="00EE42C0" w:rsidP="00EE42C0">
      <w:pPr>
        <w:jc w:val="both"/>
        <w:rPr>
          <w:color w:val="000000" w:themeColor="text1"/>
        </w:rPr>
      </w:pPr>
    </w:p>
    <w:p w14:paraId="4D653A89" w14:textId="77777777" w:rsidR="00EE42C0" w:rsidRPr="008961AD" w:rsidRDefault="00EE42C0" w:rsidP="00EE42C0">
      <w:pPr>
        <w:pStyle w:val="NoSpacing"/>
        <w:rPr>
          <w:rFonts w:ascii="Times New Roman" w:hAnsi="Times New Roman" w:cs="Times New Roman"/>
          <w:color w:val="000000" w:themeColor="text1"/>
        </w:rPr>
      </w:pPr>
      <w:r w:rsidRPr="008961AD">
        <w:rPr>
          <w:rFonts w:ascii="Times New Roman" w:hAnsi="Times New Roman" w:cs="Times New Roman"/>
          <w:b/>
          <w:bCs/>
          <w:color w:val="000000" w:themeColor="text1"/>
        </w:rPr>
        <w:t>Acknowledgement:</w:t>
      </w:r>
      <w:r w:rsidRPr="008961AD">
        <w:rPr>
          <w:rFonts w:ascii="Times New Roman" w:hAnsi="Times New Roman" w:cs="Times New Roman"/>
          <w:color w:val="000000" w:themeColor="text1"/>
        </w:rPr>
        <w:t xml:space="preserve"> We would like to</w:t>
      </w:r>
      <w:r>
        <w:rPr>
          <w:rFonts w:ascii="Times New Roman" w:hAnsi="Times New Roman" w:cs="Times New Roman"/>
          <w:color w:val="000000" w:themeColor="text1"/>
        </w:rPr>
        <w:t xml:space="preserve"> acknowledge the valuable contributions of all</w:t>
      </w:r>
      <w:r w:rsidRPr="008961AD">
        <w:rPr>
          <w:rFonts w:ascii="Times New Roman" w:hAnsi="Times New Roman" w:cs="Times New Roman"/>
          <w:color w:val="000000" w:themeColor="text1"/>
        </w:rPr>
        <w:t xml:space="preserve"> the pharmacists </w:t>
      </w:r>
      <w:r>
        <w:rPr>
          <w:rFonts w:ascii="Times New Roman" w:hAnsi="Times New Roman" w:cs="Times New Roman"/>
          <w:color w:val="000000" w:themeColor="text1"/>
        </w:rPr>
        <w:t xml:space="preserve">who agreed to </w:t>
      </w:r>
      <w:r w:rsidRPr="008961AD">
        <w:rPr>
          <w:rFonts w:ascii="Times New Roman" w:hAnsi="Times New Roman" w:cs="Times New Roman"/>
          <w:color w:val="000000" w:themeColor="text1"/>
        </w:rPr>
        <w:t>participa</w:t>
      </w:r>
      <w:r>
        <w:rPr>
          <w:rFonts w:ascii="Times New Roman" w:hAnsi="Times New Roman" w:cs="Times New Roman"/>
          <w:color w:val="000000" w:themeColor="text1"/>
        </w:rPr>
        <w:t>te</w:t>
      </w:r>
      <w:r w:rsidRPr="008961AD">
        <w:rPr>
          <w:rFonts w:ascii="Times New Roman" w:hAnsi="Times New Roman" w:cs="Times New Roman"/>
          <w:color w:val="000000" w:themeColor="text1"/>
        </w:rPr>
        <w:t xml:space="preserve"> in </w:t>
      </w:r>
      <w:r>
        <w:rPr>
          <w:rFonts w:ascii="Times New Roman" w:hAnsi="Times New Roman" w:cs="Times New Roman"/>
          <w:color w:val="000000" w:themeColor="text1"/>
        </w:rPr>
        <w:t xml:space="preserve">the </w:t>
      </w:r>
      <w:r w:rsidRPr="008961AD">
        <w:rPr>
          <w:rFonts w:ascii="Times New Roman" w:hAnsi="Times New Roman" w:cs="Times New Roman"/>
          <w:color w:val="000000" w:themeColor="text1"/>
        </w:rPr>
        <w:t>semi-structured interviews</w:t>
      </w:r>
      <w:r>
        <w:rPr>
          <w:rFonts w:ascii="Times New Roman" w:hAnsi="Times New Roman" w:cs="Times New Roman"/>
          <w:color w:val="000000" w:themeColor="text1"/>
        </w:rPr>
        <w:t>.</w:t>
      </w:r>
    </w:p>
    <w:p w14:paraId="36824D4F" w14:textId="77777777" w:rsidR="00EE42C0" w:rsidRPr="00A73829" w:rsidRDefault="00EE42C0" w:rsidP="00CD6560">
      <w:pPr>
        <w:jc w:val="center"/>
        <w:rPr>
          <w:b/>
          <w:bCs/>
          <w:sz w:val="32"/>
          <w:szCs w:val="32"/>
        </w:rPr>
      </w:pPr>
    </w:p>
    <w:p w14:paraId="1EEE0E5B" w14:textId="77777777" w:rsidR="00EE42C0" w:rsidRDefault="00EE42C0" w:rsidP="00D50919">
      <w:pPr>
        <w:spacing w:before="100" w:beforeAutospacing="1" w:after="100" w:afterAutospacing="1"/>
        <w:rPr>
          <w:b/>
          <w:bCs/>
          <w:color w:val="1C1D1E"/>
        </w:rPr>
      </w:pPr>
    </w:p>
    <w:p w14:paraId="598180BF" w14:textId="77777777" w:rsidR="00EE42C0" w:rsidRDefault="00EE42C0" w:rsidP="00D50919">
      <w:pPr>
        <w:spacing w:before="100" w:beforeAutospacing="1" w:after="100" w:afterAutospacing="1"/>
        <w:rPr>
          <w:b/>
          <w:bCs/>
          <w:color w:val="1C1D1E"/>
        </w:rPr>
      </w:pPr>
    </w:p>
    <w:p w14:paraId="07E482B9" w14:textId="77777777" w:rsidR="00EE42C0" w:rsidRDefault="00EE42C0" w:rsidP="00D50919">
      <w:pPr>
        <w:spacing w:before="100" w:beforeAutospacing="1" w:after="100" w:afterAutospacing="1"/>
        <w:rPr>
          <w:b/>
          <w:bCs/>
          <w:color w:val="1C1D1E"/>
        </w:rPr>
      </w:pPr>
    </w:p>
    <w:p w14:paraId="5CF1DCDE" w14:textId="77777777" w:rsidR="00EE42C0" w:rsidRDefault="00EE42C0" w:rsidP="00D50919">
      <w:pPr>
        <w:spacing w:before="100" w:beforeAutospacing="1" w:after="100" w:afterAutospacing="1"/>
        <w:rPr>
          <w:b/>
          <w:bCs/>
          <w:color w:val="1C1D1E"/>
        </w:rPr>
      </w:pPr>
    </w:p>
    <w:p w14:paraId="00A06F58" w14:textId="77777777" w:rsidR="00EE42C0" w:rsidRDefault="00EE42C0" w:rsidP="00D50919">
      <w:pPr>
        <w:spacing w:before="100" w:beforeAutospacing="1" w:after="100" w:afterAutospacing="1"/>
        <w:rPr>
          <w:b/>
          <w:bCs/>
          <w:color w:val="1C1D1E"/>
        </w:rPr>
      </w:pPr>
    </w:p>
    <w:p w14:paraId="0D4C77A4" w14:textId="77777777" w:rsidR="00EE42C0" w:rsidRDefault="00EE42C0" w:rsidP="00D50919">
      <w:pPr>
        <w:spacing w:before="100" w:beforeAutospacing="1" w:after="100" w:afterAutospacing="1"/>
        <w:rPr>
          <w:b/>
          <w:bCs/>
          <w:color w:val="1C1D1E"/>
        </w:rPr>
      </w:pPr>
    </w:p>
    <w:p w14:paraId="2EB32D10" w14:textId="77777777" w:rsidR="00EE42C0" w:rsidRDefault="00EE42C0" w:rsidP="00D50919">
      <w:pPr>
        <w:spacing w:before="100" w:beforeAutospacing="1" w:after="100" w:afterAutospacing="1"/>
        <w:rPr>
          <w:b/>
          <w:bCs/>
          <w:color w:val="1C1D1E"/>
        </w:rPr>
      </w:pPr>
    </w:p>
    <w:p w14:paraId="397DEA01" w14:textId="77777777" w:rsidR="00EE42C0" w:rsidRDefault="00EE42C0" w:rsidP="00D50919">
      <w:pPr>
        <w:spacing w:before="100" w:beforeAutospacing="1" w:after="100" w:afterAutospacing="1"/>
        <w:rPr>
          <w:b/>
          <w:bCs/>
          <w:color w:val="1C1D1E"/>
        </w:rPr>
      </w:pPr>
    </w:p>
    <w:p w14:paraId="0AD708CD" w14:textId="77777777" w:rsidR="00EE42C0" w:rsidRDefault="00EE42C0" w:rsidP="00D50919">
      <w:pPr>
        <w:spacing w:before="100" w:beforeAutospacing="1" w:after="100" w:afterAutospacing="1"/>
        <w:rPr>
          <w:b/>
          <w:bCs/>
          <w:color w:val="1C1D1E"/>
        </w:rPr>
      </w:pPr>
    </w:p>
    <w:p w14:paraId="285CBA07" w14:textId="77777777" w:rsidR="00EE42C0" w:rsidRDefault="00EE42C0" w:rsidP="00D50919">
      <w:pPr>
        <w:spacing w:before="100" w:beforeAutospacing="1" w:after="100" w:afterAutospacing="1"/>
        <w:rPr>
          <w:b/>
          <w:bCs/>
          <w:color w:val="1C1D1E"/>
        </w:rPr>
      </w:pPr>
    </w:p>
    <w:p w14:paraId="68FF3535" w14:textId="77777777" w:rsidR="00EE42C0" w:rsidRDefault="00EE42C0" w:rsidP="00D50919">
      <w:pPr>
        <w:spacing w:before="100" w:beforeAutospacing="1" w:after="100" w:afterAutospacing="1"/>
        <w:rPr>
          <w:b/>
          <w:bCs/>
          <w:color w:val="1C1D1E"/>
        </w:rPr>
      </w:pPr>
    </w:p>
    <w:p w14:paraId="6E5B79B7" w14:textId="77777777" w:rsidR="00EE42C0" w:rsidRDefault="00EE42C0" w:rsidP="00D50919">
      <w:pPr>
        <w:spacing w:before="100" w:beforeAutospacing="1" w:after="100" w:afterAutospacing="1"/>
        <w:rPr>
          <w:b/>
          <w:bCs/>
          <w:color w:val="1C1D1E"/>
        </w:rPr>
      </w:pPr>
    </w:p>
    <w:p w14:paraId="6AEBEC03" w14:textId="77777777" w:rsidR="00EE42C0" w:rsidRDefault="00EE42C0" w:rsidP="00D50919">
      <w:pPr>
        <w:spacing w:before="100" w:beforeAutospacing="1" w:after="100" w:afterAutospacing="1"/>
        <w:rPr>
          <w:b/>
          <w:bCs/>
          <w:color w:val="1C1D1E"/>
        </w:rPr>
      </w:pPr>
    </w:p>
    <w:p w14:paraId="2179CE19" w14:textId="77777777" w:rsidR="00EE42C0" w:rsidRDefault="00EE42C0" w:rsidP="00D50919">
      <w:pPr>
        <w:spacing w:before="100" w:beforeAutospacing="1" w:after="100" w:afterAutospacing="1"/>
        <w:rPr>
          <w:b/>
          <w:bCs/>
          <w:color w:val="1C1D1E"/>
        </w:rPr>
      </w:pPr>
    </w:p>
    <w:p w14:paraId="4ABA50DC" w14:textId="77777777" w:rsidR="00EE42C0" w:rsidRDefault="00EE42C0" w:rsidP="00D50919">
      <w:pPr>
        <w:spacing w:before="100" w:beforeAutospacing="1" w:after="100" w:afterAutospacing="1"/>
        <w:rPr>
          <w:b/>
          <w:bCs/>
          <w:color w:val="1C1D1E"/>
        </w:rPr>
      </w:pPr>
    </w:p>
    <w:p w14:paraId="31A68215" w14:textId="77777777" w:rsidR="00EE42C0" w:rsidRDefault="00EE42C0" w:rsidP="00D50919">
      <w:pPr>
        <w:spacing w:before="100" w:beforeAutospacing="1" w:after="100" w:afterAutospacing="1"/>
        <w:rPr>
          <w:b/>
          <w:bCs/>
          <w:color w:val="1C1D1E"/>
        </w:rPr>
      </w:pPr>
    </w:p>
    <w:p w14:paraId="347C24ED" w14:textId="77777777" w:rsidR="00EE42C0" w:rsidRDefault="00EE42C0" w:rsidP="00D50919">
      <w:pPr>
        <w:spacing w:before="100" w:beforeAutospacing="1" w:after="100" w:afterAutospacing="1"/>
        <w:rPr>
          <w:b/>
          <w:bCs/>
          <w:color w:val="1C1D1E"/>
        </w:rPr>
      </w:pPr>
    </w:p>
    <w:p w14:paraId="6055249A" w14:textId="77777777" w:rsidR="00EE42C0" w:rsidRDefault="00EE42C0" w:rsidP="00D50919">
      <w:pPr>
        <w:spacing w:before="100" w:beforeAutospacing="1" w:after="100" w:afterAutospacing="1"/>
        <w:rPr>
          <w:b/>
          <w:bCs/>
          <w:color w:val="1C1D1E"/>
        </w:rPr>
      </w:pPr>
    </w:p>
    <w:p w14:paraId="282C3E2D" w14:textId="77777777" w:rsidR="00EE42C0" w:rsidRDefault="00EE42C0" w:rsidP="00D50919">
      <w:pPr>
        <w:spacing w:before="100" w:beforeAutospacing="1" w:after="100" w:afterAutospacing="1"/>
        <w:rPr>
          <w:b/>
          <w:bCs/>
          <w:color w:val="1C1D1E"/>
        </w:rPr>
      </w:pPr>
    </w:p>
    <w:p w14:paraId="4B14E4DC" w14:textId="77777777" w:rsidR="00EE42C0" w:rsidRDefault="00EE42C0" w:rsidP="00D50919">
      <w:pPr>
        <w:spacing w:before="100" w:beforeAutospacing="1" w:after="100" w:afterAutospacing="1"/>
        <w:rPr>
          <w:b/>
          <w:bCs/>
          <w:color w:val="1C1D1E"/>
        </w:rPr>
      </w:pPr>
    </w:p>
    <w:p w14:paraId="415C94DC" w14:textId="77777777" w:rsidR="00EE42C0" w:rsidRDefault="00EE42C0" w:rsidP="00D50919">
      <w:pPr>
        <w:spacing w:before="100" w:beforeAutospacing="1" w:after="100" w:afterAutospacing="1"/>
        <w:rPr>
          <w:b/>
          <w:bCs/>
          <w:color w:val="1C1D1E"/>
        </w:rPr>
      </w:pPr>
    </w:p>
    <w:p w14:paraId="0CEB0990" w14:textId="7B9C9712" w:rsidR="00D50919" w:rsidRDefault="00D50919" w:rsidP="00D50919">
      <w:pPr>
        <w:spacing w:before="100" w:beforeAutospacing="1" w:after="100" w:afterAutospacing="1"/>
        <w:rPr>
          <w:b/>
          <w:bCs/>
          <w:color w:val="1C1D1E"/>
        </w:rPr>
      </w:pPr>
      <w:r w:rsidRPr="00A71151">
        <w:rPr>
          <w:b/>
          <w:bCs/>
          <w:color w:val="1C1D1E"/>
        </w:rPr>
        <w:lastRenderedPageBreak/>
        <w:t>What is already known about this subject: </w:t>
      </w:r>
    </w:p>
    <w:p w14:paraId="6FD9095B" w14:textId="1EEDFCDE" w:rsidR="00D50919" w:rsidRPr="009277AB" w:rsidRDefault="00D91280" w:rsidP="00D50919">
      <w:pPr>
        <w:pStyle w:val="ListParagraph"/>
        <w:numPr>
          <w:ilvl w:val="0"/>
          <w:numId w:val="46"/>
        </w:numPr>
        <w:spacing w:before="100" w:beforeAutospacing="1" w:after="100" w:afterAutospacing="1"/>
        <w:rPr>
          <w:color w:val="000000" w:themeColor="text1"/>
        </w:rPr>
      </w:pPr>
      <w:r w:rsidRPr="009277AB">
        <w:rPr>
          <w:color w:val="000000" w:themeColor="text1"/>
        </w:rPr>
        <w:t>Risk-prediction tools (RPT) are commonly used in clinical practice.</w:t>
      </w:r>
    </w:p>
    <w:p w14:paraId="0B454D4B" w14:textId="19926760" w:rsidR="00D91280" w:rsidRPr="009277AB" w:rsidRDefault="00D91280" w:rsidP="00D91280">
      <w:pPr>
        <w:pStyle w:val="ListParagraph"/>
        <w:numPr>
          <w:ilvl w:val="0"/>
          <w:numId w:val="46"/>
        </w:numPr>
        <w:spacing w:before="100" w:beforeAutospacing="1" w:after="100" w:afterAutospacing="1"/>
        <w:rPr>
          <w:color w:val="000000" w:themeColor="text1"/>
        </w:rPr>
      </w:pPr>
      <w:r w:rsidRPr="009277AB">
        <w:rPr>
          <w:color w:val="000000" w:themeColor="text1"/>
        </w:rPr>
        <w:t xml:space="preserve">The PRIME-RPT is a novel, </w:t>
      </w:r>
      <w:r w:rsidR="00C23B74" w:rsidRPr="009277AB">
        <w:rPr>
          <w:color w:val="000000" w:themeColor="text1"/>
        </w:rPr>
        <w:t>internally validated</w:t>
      </w:r>
      <w:r w:rsidRPr="009277AB">
        <w:rPr>
          <w:color w:val="000000" w:themeColor="text1"/>
        </w:rPr>
        <w:t xml:space="preserve"> tool which predicts older adults’ risk of medication-related harm</w:t>
      </w:r>
      <w:r w:rsidR="000D4705" w:rsidRPr="009277AB">
        <w:rPr>
          <w:color w:val="000000" w:themeColor="text1"/>
        </w:rPr>
        <w:t xml:space="preserve"> (MRH)</w:t>
      </w:r>
      <w:r w:rsidRPr="009277AB">
        <w:rPr>
          <w:color w:val="000000" w:themeColor="text1"/>
        </w:rPr>
        <w:t xml:space="preserve"> </w:t>
      </w:r>
      <w:r w:rsidR="009277AB" w:rsidRPr="009277AB">
        <w:rPr>
          <w:color w:val="000000" w:themeColor="text1"/>
        </w:rPr>
        <w:t>within</w:t>
      </w:r>
      <w:r w:rsidRPr="009277AB">
        <w:rPr>
          <w:color w:val="000000" w:themeColor="text1"/>
        </w:rPr>
        <w:t xml:space="preserve"> eight</w:t>
      </w:r>
      <w:r w:rsidR="009277AB" w:rsidRPr="009277AB">
        <w:rPr>
          <w:color w:val="000000" w:themeColor="text1"/>
        </w:rPr>
        <w:t>-</w:t>
      </w:r>
      <w:r w:rsidRPr="009277AB">
        <w:rPr>
          <w:color w:val="000000" w:themeColor="text1"/>
        </w:rPr>
        <w:t xml:space="preserve">weeks </w:t>
      </w:r>
      <w:r w:rsidR="009277AB" w:rsidRPr="009277AB">
        <w:rPr>
          <w:color w:val="000000" w:themeColor="text1"/>
        </w:rPr>
        <w:t xml:space="preserve">of </w:t>
      </w:r>
      <w:r w:rsidRPr="009277AB">
        <w:rPr>
          <w:color w:val="000000" w:themeColor="text1"/>
        </w:rPr>
        <w:t>hospital discharge.</w:t>
      </w:r>
    </w:p>
    <w:p w14:paraId="32089538" w14:textId="20949F8D" w:rsidR="00D91280" w:rsidRPr="009277AB" w:rsidRDefault="00D91280" w:rsidP="00D91280">
      <w:pPr>
        <w:pStyle w:val="ListParagraph"/>
        <w:numPr>
          <w:ilvl w:val="0"/>
          <w:numId w:val="46"/>
        </w:numPr>
        <w:spacing w:before="100" w:beforeAutospacing="1" w:after="100" w:afterAutospacing="1"/>
        <w:rPr>
          <w:color w:val="000000" w:themeColor="text1"/>
        </w:rPr>
      </w:pPr>
      <w:r w:rsidRPr="009277AB">
        <w:rPr>
          <w:color w:val="000000" w:themeColor="text1"/>
        </w:rPr>
        <w:t xml:space="preserve">It is important to seek opinions of </w:t>
      </w:r>
      <w:r w:rsidR="000D4705" w:rsidRPr="009277AB">
        <w:rPr>
          <w:color w:val="000000" w:themeColor="text1"/>
        </w:rPr>
        <w:t>clinicians</w:t>
      </w:r>
      <w:r w:rsidRPr="009277AB">
        <w:rPr>
          <w:color w:val="000000" w:themeColor="text1"/>
        </w:rPr>
        <w:t xml:space="preserve"> who will use</w:t>
      </w:r>
      <w:r w:rsidR="00C23B74" w:rsidRPr="009277AB">
        <w:rPr>
          <w:color w:val="000000" w:themeColor="text1"/>
        </w:rPr>
        <w:t xml:space="preserve"> </w:t>
      </w:r>
      <w:r w:rsidR="009277AB" w:rsidRPr="009277AB">
        <w:rPr>
          <w:color w:val="000000" w:themeColor="text1"/>
        </w:rPr>
        <w:t>RPTs</w:t>
      </w:r>
      <w:r w:rsidRPr="009277AB">
        <w:rPr>
          <w:color w:val="000000" w:themeColor="text1"/>
        </w:rPr>
        <w:t xml:space="preserve"> before</w:t>
      </w:r>
      <w:r w:rsidR="00C23B74" w:rsidRPr="009277AB">
        <w:rPr>
          <w:color w:val="000000" w:themeColor="text1"/>
        </w:rPr>
        <w:t xml:space="preserve"> they are</w:t>
      </w:r>
      <w:r w:rsidRPr="009277AB">
        <w:rPr>
          <w:color w:val="000000" w:themeColor="text1"/>
        </w:rPr>
        <w:t xml:space="preserve"> </w:t>
      </w:r>
      <w:r w:rsidR="00C02BAB" w:rsidRPr="009277AB">
        <w:rPr>
          <w:color w:val="000000" w:themeColor="text1"/>
        </w:rPr>
        <w:t>integrat</w:t>
      </w:r>
      <w:r w:rsidR="00C23B74" w:rsidRPr="009277AB">
        <w:rPr>
          <w:color w:val="000000" w:themeColor="text1"/>
        </w:rPr>
        <w:t>ed</w:t>
      </w:r>
      <w:r w:rsidRPr="009277AB">
        <w:rPr>
          <w:color w:val="000000" w:themeColor="text1"/>
        </w:rPr>
        <w:t xml:space="preserve"> into clinical practice</w:t>
      </w:r>
      <w:r w:rsidR="00C02BAB" w:rsidRPr="009277AB">
        <w:rPr>
          <w:color w:val="000000" w:themeColor="text1"/>
        </w:rPr>
        <w:t>.</w:t>
      </w:r>
    </w:p>
    <w:p w14:paraId="2C0579C0" w14:textId="7FED50B7" w:rsidR="000D4705" w:rsidRPr="000D4705" w:rsidRDefault="00D50919" w:rsidP="000D4705">
      <w:pPr>
        <w:spacing w:before="100" w:beforeAutospacing="1" w:after="100" w:afterAutospacing="1"/>
        <w:rPr>
          <w:b/>
          <w:bCs/>
          <w:color w:val="1C1D1E"/>
        </w:rPr>
      </w:pPr>
      <w:r w:rsidRPr="00A71151">
        <w:rPr>
          <w:b/>
          <w:bCs/>
          <w:color w:val="1C1D1E"/>
        </w:rPr>
        <w:t>What this study adds</w:t>
      </w:r>
      <w:r w:rsidR="00316007" w:rsidRPr="00A71151">
        <w:rPr>
          <w:b/>
          <w:bCs/>
          <w:color w:val="1C1D1E"/>
        </w:rPr>
        <w:t>: </w:t>
      </w:r>
    </w:p>
    <w:p w14:paraId="5B8B8542" w14:textId="77777777" w:rsidR="00F8401F" w:rsidRPr="00F8401F" w:rsidRDefault="00C42C45" w:rsidP="00C42C45">
      <w:pPr>
        <w:pStyle w:val="ListParagraph"/>
        <w:numPr>
          <w:ilvl w:val="0"/>
          <w:numId w:val="49"/>
        </w:numPr>
        <w:rPr>
          <w:color w:val="000000" w:themeColor="text1"/>
        </w:rPr>
      </w:pPr>
      <w:r w:rsidRPr="00F8401F">
        <w:rPr>
          <w:color w:val="000000" w:themeColor="text1"/>
        </w:rPr>
        <w:t>The PRIME-RPT was well received by hospital pharmacists and commended for its ability to easily quantify MRH risk.</w:t>
      </w:r>
    </w:p>
    <w:p w14:paraId="31C54030" w14:textId="773C3984" w:rsidR="00F8401F" w:rsidRPr="00F8401F" w:rsidRDefault="00C42C45" w:rsidP="00C42C45">
      <w:pPr>
        <w:pStyle w:val="ListParagraph"/>
        <w:numPr>
          <w:ilvl w:val="0"/>
          <w:numId w:val="49"/>
        </w:numPr>
        <w:rPr>
          <w:color w:val="000000" w:themeColor="text1"/>
        </w:rPr>
      </w:pPr>
      <w:r w:rsidRPr="00F8401F">
        <w:rPr>
          <w:color w:val="000000" w:themeColor="text1"/>
        </w:rPr>
        <w:t>The RPT</w:t>
      </w:r>
      <w:r w:rsidR="00F8401F" w:rsidRPr="00F8401F">
        <w:rPr>
          <w:color w:val="000000" w:themeColor="text1"/>
        </w:rPr>
        <w:t xml:space="preserve"> </w:t>
      </w:r>
      <w:r w:rsidRPr="00F8401F">
        <w:rPr>
          <w:color w:val="000000" w:themeColor="text1"/>
        </w:rPr>
        <w:t>could prioritise pharmacists’ interventions to those at highest risk.</w:t>
      </w:r>
    </w:p>
    <w:p w14:paraId="512287AC" w14:textId="291550B0" w:rsidR="00C42C45" w:rsidRPr="00F8401F" w:rsidRDefault="00C42C45" w:rsidP="00C42C45">
      <w:pPr>
        <w:pStyle w:val="ListParagraph"/>
        <w:numPr>
          <w:ilvl w:val="0"/>
          <w:numId w:val="49"/>
        </w:numPr>
        <w:rPr>
          <w:color w:val="000000" w:themeColor="text1"/>
        </w:rPr>
      </w:pPr>
      <w:r w:rsidRPr="00F8401F">
        <w:rPr>
          <w:color w:val="000000" w:themeColor="text1"/>
        </w:rPr>
        <w:t>PRIME-RPT can potentially be integrated into existing clinical pathways.</w:t>
      </w:r>
    </w:p>
    <w:p w14:paraId="3C89CCAA" w14:textId="0D7D6363" w:rsidR="00A71151" w:rsidRDefault="00A71151" w:rsidP="00CD6560">
      <w:pPr>
        <w:jc w:val="center"/>
        <w:rPr>
          <w:b/>
          <w:bCs/>
          <w:sz w:val="32"/>
          <w:szCs w:val="32"/>
        </w:rPr>
      </w:pPr>
    </w:p>
    <w:p w14:paraId="1E5A8756" w14:textId="1206B4D4" w:rsidR="00A71151" w:rsidRDefault="00A71151" w:rsidP="00CD6560">
      <w:pPr>
        <w:jc w:val="center"/>
        <w:rPr>
          <w:b/>
          <w:bCs/>
          <w:sz w:val="32"/>
          <w:szCs w:val="32"/>
        </w:rPr>
      </w:pPr>
    </w:p>
    <w:p w14:paraId="2653E08A" w14:textId="4B9148FA" w:rsidR="00A71151" w:rsidRDefault="00A71151" w:rsidP="00CD6560">
      <w:pPr>
        <w:jc w:val="center"/>
        <w:rPr>
          <w:b/>
          <w:bCs/>
          <w:sz w:val="32"/>
          <w:szCs w:val="32"/>
        </w:rPr>
      </w:pPr>
    </w:p>
    <w:p w14:paraId="1FA98300" w14:textId="45136B38" w:rsidR="003136E9" w:rsidRDefault="003136E9" w:rsidP="00CD6560">
      <w:pPr>
        <w:jc w:val="center"/>
        <w:rPr>
          <w:b/>
          <w:bCs/>
          <w:sz w:val="32"/>
          <w:szCs w:val="32"/>
        </w:rPr>
      </w:pPr>
    </w:p>
    <w:p w14:paraId="1505237B" w14:textId="012EDAE3" w:rsidR="003136E9" w:rsidRDefault="003136E9" w:rsidP="00CD6560">
      <w:pPr>
        <w:jc w:val="center"/>
        <w:rPr>
          <w:b/>
          <w:bCs/>
          <w:sz w:val="32"/>
          <w:szCs w:val="32"/>
        </w:rPr>
      </w:pPr>
    </w:p>
    <w:p w14:paraId="7D8FE897" w14:textId="14DAD68E" w:rsidR="003136E9" w:rsidRDefault="003136E9" w:rsidP="00CD6560">
      <w:pPr>
        <w:jc w:val="center"/>
        <w:rPr>
          <w:b/>
          <w:bCs/>
          <w:sz w:val="32"/>
          <w:szCs w:val="32"/>
        </w:rPr>
      </w:pPr>
    </w:p>
    <w:p w14:paraId="2A65C19B" w14:textId="1CC11DBE" w:rsidR="003136E9" w:rsidRDefault="003136E9" w:rsidP="00CD6560">
      <w:pPr>
        <w:jc w:val="center"/>
        <w:rPr>
          <w:b/>
          <w:bCs/>
          <w:sz w:val="32"/>
          <w:szCs w:val="32"/>
        </w:rPr>
      </w:pPr>
    </w:p>
    <w:p w14:paraId="379ED1F9" w14:textId="62EA1007" w:rsidR="003136E9" w:rsidRDefault="003136E9" w:rsidP="00CD6560">
      <w:pPr>
        <w:jc w:val="center"/>
        <w:rPr>
          <w:b/>
          <w:bCs/>
          <w:sz w:val="32"/>
          <w:szCs w:val="32"/>
        </w:rPr>
      </w:pPr>
    </w:p>
    <w:p w14:paraId="4875BCD3" w14:textId="67D9D426" w:rsidR="003136E9" w:rsidRDefault="003136E9" w:rsidP="00CD6560">
      <w:pPr>
        <w:jc w:val="center"/>
        <w:rPr>
          <w:b/>
          <w:bCs/>
          <w:sz w:val="32"/>
          <w:szCs w:val="32"/>
        </w:rPr>
      </w:pPr>
    </w:p>
    <w:p w14:paraId="2AACAC6B" w14:textId="3D5F4CF4" w:rsidR="003136E9" w:rsidRDefault="003136E9" w:rsidP="00CD6560">
      <w:pPr>
        <w:jc w:val="center"/>
        <w:rPr>
          <w:b/>
          <w:bCs/>
          <w:sz w:val="32"/>
          <w:szCs w:val="32"/>
        </w:rPr>
      </w:pPr>
    </w:p>
    <w:p w14:paraId="0C17FC71" w14:textId="0F3C3FB0" w:rsidR="003136E9" w:rsidRDefault="003136E9" w:rsidP="00CD6560">
      <w:pPr>
        <w:jc w:val="center"/>
        <w:rPr>
          <w:b/>
          <w:bCs/>
          <w:sz w:val="32"/>
          <w:szCs w:val="32"/>
        </w:rPr>
      </w:pPr>
    </w:p>
    <w:p w14:paraId="1564051A" w14:textId="392478D5" w:rsidR="003136E9" w:rsidRDefault="003136E9" w:rsidP="00CD6560">
      <w:pPr>
        <w:jc w:val="center"/>
        <w:rPr>
          <w:b/>
          <w:bCs/>
          <w:sz w:val="32"/>
          <w:szCs w:val="32"/>
        </w:rPr>
      </w:pPr>
    </w:p>
    <w:p w14:paraId="473C5AAC" w14:textId="716F4369" w:rsidR="003136E9" w:rsidRDefault="003136E9" w:rsidP="00CD6560">
      <w:pPr>
        <w:jc w:val="center"/>
        <w:rPr>
          <w:b/>
          <w:bCs/>
          <w:sz w:val="32"/>
          <w:szCs w:val="32"/>
        </w:rPr>
      </w:pPr>
    </w:p>
    <w:p w14:paraId="547A058F" w14:textId="77777777" w:rsidR="003136E9" w:rsidRDefault="003136E9" w:rsidP="00CD6560">
      <w:pPr>
        <w:jc w:val="center"/>
        <w:rPr>
          <w:b/>
          <w:bCs/>
          <w:sz w:val="32"/>
          <w:szCs w:val="32"/>
        </w:rPr>
      </w:pPr>
    </w:p>
    <w:p w14:paraId="125207E7" w14:textId="7005E515" w:rsidR="00A71151" w:rsidRDefault="00A71151" w:rsidP="00CD6560">
      <w:pPr>
        <w:jc w:val="center"/>
        <w:rPr>
          <w:b/>
          <w:bCs/>
          <w:sz w:val="32"/>
          <w:szCs w:val="32"/>
        </w:rPr>
      </w:pPr>
    </w:p>
    <w:p w14:paraId="2D32515D" w14:textId="7E6824A3" w:rsidR="00A71151" w:rsidRDefault="00A71151" w:rsidP="00CD6560">
      <w:pPr>
        <w:jc w:val="center"/>
        <w:rPr>
          <w:b/>
          <w:bCs/>
          <w:sz w:val="32"/>
          <w:szCs w:val="32"/>
        </w:rPr>
      </w:pPr>
    </w:p>
    <w:p w14:paraId="7C5288D5" w14:textId="05584AE5" w:rsidR="00A71151" w:rsidRDefault="00A71151" w:rsidP="00CD6560">
      <w:pPr>
        <w:jc w:val="center"/>
        <w:rPr>
          <w:b/>
          <w:bCs/>
          <w:sz w:val="32"/>
          <w:szCs w:val="32"/>
        </w:rPr>
      </w:pPr>
    </w:p>
    <w:p w14:paraId="273DDBE1" w14:textId="0B29126B" w:rsidR="00A71151" w:rsidRDefault="00A71151" w:rsidP="00CD6560">
      <w:pPr>
        <w:jc w:val="center"/>
        <w:rPr>
          <w:b/>
          <w:bCs/>
          <w:sz w:val="32"/>
          <w:szCs w:val="32"/>
        </w:rPr>
      </w:pPr>
    </w:p>
    <w:p w14:paraId="351C2EDE" w14:textId="5C77731D" w:rsidR="00A71151" w:rsidRDefault="00A71151" w:rsidP="00A71151">
      <w:pPr>
        <w:rPr>
          <w:b/>
          <w:bCs/>
          <w:sz w:val="32"/>
          <w:szCs w:val="32"/>
        </w:rPr>
      </w:pPr>
    </w:p>
    <w:p w14:paraId="6D880A9B" w14:textId="170BCBCE" w:rsidR="00F8401F" w:rsidRDefault="00F8401F" w:rsidP="00A71151">
      <w:pPr>
        <w:rPr>
          <w:b/>
          <w:bCs/>
          <w:sz w:val="32"/>
          <w:szCs w:val="32"/>
        </w:rPr>
      </w:pPr>
    </w:p>
    <w:p w14:paraId="3A965C1A" w14:textId="3558291D" w:rsidR="00F8401F" w:rsidRDefault="00F8401F" w:rsidP="00A71151">
      <w:pPr>
        <w:rPr>
          <w:b/>
          <w:bCs/>
          <w:sz w:val="32"/>
          <w:szCs w:val="32"/>
        </w:rPr>
      </w:pPr>
    </w:p>
    <w:p w14:paraId="3789DC45" w14:textId="3ED404DB" w:rsidR="00CB64D0" w:rsidRDefault="00CB64D0" w:rsidP="00A71151">
      <w:pPr>
        <w:rPr>
          <w:b/>
          <w:bCs/>
          <w:sz w:val="32"/>
          <w:szCs w:val="32"/>
        </w:rPr>
      </w:pPr>
    </w:p>
    <w:p w14:paraId="66CB0B77" w14:textId="17C79790" w:rsidR="00CB64D0" w:rsidRDefault="00CB64D0" w:rsidP="00A71151">
      <w:pPr>
        <w:rPr>
          <w:b/>
          <w:bCs/>
          <w:sz w:val="32"/>
          <w:szCs w:val="32"/>
        </w:rPr>
      </w:pPr>
    </w:p>
    <w:p w14:paraId="5F0E2868" w14:textId="3D31075B" w:rsidR="00EE42C0" w:rsidRDefault="00EE42C0" w:rsidP="00A71151">
      <w:pPr>
        <w:rPr>
          <w:b/>
          <w:bCs/>
          <w:sz w:val="32"/>
          <w:szCs w:val="32"/>
        </w:rPr>
      </w:pPr>
    </w:p>
    <w:p w14:paraId="1CF40547" w14:textId="77777777" w:rsidR="00EE42C0" w:rsidRDefault="00EE42C0" w:rsidP="00A71151">
      <w:pPr>
        <w:rPr>
          <w:b/>
          <w:bCs/>
          <w:sz w:val="32"/>
          <w:szCs w:val="32"/>
        </w:rPr>
      </w:pPr>
    </w:p>
    <w:p w14:paraId="0A3D144A" w14:textId="77777777" w:rsidR="00EE42C0" w:rsidRDefault="00EE42C0" w:rsidP="00A71151">
      <w:pPr>
        <w:rPr>
          <w:b/>
          <w:bCs/>
          <w:sz w:val="32"/>
          <w:szCs w:val="32"/>
        </w:rPr>
      </w:pPr>
    </w:p>
    <w:p w14:paraId="3F8D6703" w14:textId="587B38C0" w:rsidR="00A71151" w:rsidRPr="00B27459" w:rsidRDefault="00A71151" w:rsidP="00A71151">
      <w:pPr>
        <w:rPr>
          <w:b/>
          <w:bCs/>
          <w:color w:val="FF0000"/>
        </w:rPr>
      </w:pPr>
      <w:r>
        <w:rPr>
          <w:b/>
          <w:bCs/>
          <w:sz w:val="32"/>
          <w:szCs w:val="32"/>
        </w:rPr>
        <w:lastRenderedPageBreak/>
        <w:t>Abstract</w:t>
      </w:r>
    </w:p>
    <w:p w14:paraId="62167816" w14:textId="4C3FFC5A" w:rsidR="0049161A" w:rsidRPr="00EF7BCA" w:rsidRDefault="0049161A" w:rsidP="00B34605">
      <w:pPr>
        <w:jc w:val="both"/>
        <w:rPr>
          <w:b/>
          <w:bCs/>
          <w:sz w:val="28"/>
          <w:szCs w:val="28"/>
        </w:rPr>
      </w:pPr>
    </w:p>
    <w:p w14:paraId="79119B3C" w14:textId="353D8E23" w:rsidR="00A47F69" w:rsidRPr="00BE3138" w:rsidRDefault="0093774D" w:rsidP="00B34605">
      <w:pPr>
        <w:jc w:val="both"/>
        <w:rPr>
          <w:color w:val="000000" w:themeColor="text1"/>
        </w:rPr>
      </w:pPr>
      <w:bookmarkStart w:id="0" w:name="OLE_LINK1"/>
      <w:bookmarkStart w:id="1" w:name="OLE_LINK2"/>
      <w:r w:rsidRPr="00BE3138">
        <w:rPr>
          <w:b/>
          <w:bCs/>
          <w:color w:val="000000" w:themeColor="text1"/>
        </w:rPr>
        <w:t>Aim</w:t>
      </w:r>
      <w:r w:rsidR="003E3A5D" w:rsidRPr="00BE3138">
        <w:rPr>
          <w:b/>
          <w:bCs/>
          <w:color w:val="000000" w:themeColor="text1"/>
        </w:rPr>
        <w:t xml:space="preserve">: </w:t>
      </w:r>
      <w:r w:rsidR="00962C14" w:rsidRPr="00BE3138">
        <w:rPr>
          <w:color w:val="000000" w:themeColor="text1"/>
        </w:rPr>
        <w:t>Older adults are particularly affected by m</w:t>
      </w:r>
      <w:r w:rsidR="00AB605A" w:rsidRPr="00BE3138">
        <w:rPr>
          <w:color w:val="000000" w:themeColor="text1"/>
        </w:rPr>
        <w:t>edication</w:t>
      </w:r>
      <w:r w:rsidR="00F8401F" w:rsidRPr="00BE3138">
        <w:rPr>
          <w:color w:val="000000" w:themeColor="text1"/>
        </w:rPr>
        <w:t>-</w:t>
      </w:r>
      <w:r w:rsidR="00AB605A" w:rsidRPr="00BE3138">
        <w:rPr>
          <w:color w:val="000000" w:themeColor="text1"/>
        </w:rPr>
        <w:t xml:space="preserve">related harm </w:t>
      </w:r>
      <w:r w:rsidR="003E3A5D" w:rsidRPr="00BE3138">
        <w:rPr>
          <w:color w:val="000000" w:themeColor="text1"/>
        </w:rPr>
        <w:t>(MRH)</w:t>
      </w:r>
      <w:r w:rsidR="00AB605A" w:rsidRPr="00BE3138">
        <w:rPr>
          <w:color w:val="000000" w:themeColor="text1"/>
        </w:rPr>
        <w:t xml:space="preserve"> during transition</w:t>
      </w:r>
      <w:r w:rsidR="001B568B" w:rsidRPr="00BE3138">
        <w:rPr>
          <w:color w:val="000000" w:themeColor="text1"/>
        </w:rPr>
        <w:t xml:space="preserve">s </w:t>
      </w:r>
      <w:r w:rsidR="00AB605A" w:rsidRPr="00BE3138">
        <w:rPr>
          <w:color w:val="000000" w:themeColor="text1"/>
        </w:rPr>
        <w:t xml:space="preserve">of care. </w:t>
      </w:r>
      <w:r w:rsidR="00EC4D9B" w:rsidRPr="00BE3138">
        <w:rPr>
          <w:color w:val="000000" w:themeColor="text1"/>
        </w:rPr>
        <w:t xml:space="preserve">There are no clinical tools predicting those at highest risk of MRH post-hospital discharge. </w:t>
      </w:r>
      <w:r w:rsidR="005F7D45" w:rsidRPr="00BE3138">
        <w:rPr>
          <w:color w:val="000000" w:themeColor="text1"/>
        </w:rPr>
        <w:t>The PRIME study (prospective study to develop a model to stratify the risk of MRH in hospitalized patients</w:t>
      </w:r>
      <w:r w:rsidR="004E176D" w:rsidRPr="00BE3138">
        <w:rPr>
          <w:color w:val="000000" w:themeColor="text1"/>
        </w:rPr>
        <w:t>)</w:t>
      </w:r>
      <w:r w:rsidR="005F7D45" w:rsidRPr="00BE3138">
        <w:rPr>
          <w:color w:val="000000" w:themeColor="text1"/>
        </w:rPr>
        <w:t xml:space="preserve"> developed an</w:t>
      </w:r>
      <w:r w:rsidR="0042306E" w:rsidRPr="00BE3138">
        <w:rPr>
          <w:color w:val="000000" w:themeColor="text1"/>
        </w:rPr>
        <w:t>d</w:t>
      </w:r>
      <w:r w:rsidR="005F7D45" w:rsidRPr="00BE3138">
        <w:rPr>
          <w:color w:val="000000" w:themeColor="text1"/>
        </w:rPr>
        <w:t xml:space="preserve"> internally validated </w:t>
      </w:r>
      <w:r w:rsidR="0042306E" w:rsidRPr="00BE3138">
        <w:rPr>
          <w:color w:val="000000" w:themeColor="text1"/>
        </w:rPr>
        <w:t>a risk</w:t>
      </w:r>
      <w:r w:rsidR="00675F99" w:rsidRPr="00BE3138">
        <w:rPr>
          <w:color w:val="000000" w:themeColor="text1"/>
        </w:rPr>
        <w:t>-</w:t>
      </w:r>
      <w:r w:rsidR="0042306E" w:rsidRPr="00BE3138">
        <w:rPr>
          <w:color w:val="000000" w:themeColor="text1"/>
        </w:rPr>
        <w:t xml:space="preserve">prediction </w:t>
      </w:r>
      <w:r w:rsidR="004B3D96" w:rsidRPr="00BE3138">
        <w:rPr>
          <w:color w:val="000000" w:themeColor="text1"/>
        </w:rPr>
        <w:t xml:space="preserve">tool (RPT) </w:t>
      </w:r>
      <w:r w:rsidR="005F7D45" w:rsidRPr="00BE3138">
        <w:rPr>
          <w:color w:val="000000" w:themeColor="text1"/>
        </w:rPr>
        <w:t xml:space="preserve">that </w:t>
      </w:r>
      <w:r w:rsidR="004B3D96" w:rsidRPr="00BE3138">
        <w:rPr>
          <w:color w:val="000000" w:themeColor="text1"/>
        </w:rPr>
        <w:t xml:space="preserve">provides a </w:t>
      </w:r>
      <w:r w:rsidR="00717DAE" w:rsidRPr="00BE3138">
        <w:rPr>
          <w:color w:val="000000" w:themeColor="text1"/>
        </w:rPr>
        <w:t>percentage</w:t>
      </w:r>
      <w:r w:rsidR="004B3D96" w:rsidRPr="00BE3138">
        <w:rPr>
          <w:color w:val="000000" w:themeColor="text1"/>
        </w:rPr>
        <w:t xml:space="preserve"> score of MRH</w:t>
      </w:r>
      <w:r w:rsidR="005F7D45" w:rsidRPr="00BE3138">
        <w:rPr>
          <w:color w:val="000000" w:themeColor="text1"/>
        </w:rPr>
        <w:t xml:space="preserve"> </w:t>
      </w:r>
      <w:r w:rsidR="004E176D" w:rsidRPr="00BE3138">
        <w:rPr>
          <w:color w:val="000000" w:themeColor="text1"/>
        </w:rPr>
        <w:t xml:space="preserve">in adults over 65 </w:t>
      </w:r>
      <w:r w:rsidR="005F7D45" w:rsidRPr="00BE3138">
        <w:rPr>
          <w:color w:val="000000" w:themeColor="text1"/>
        </w:rPr>
        <w:t>in the eight-weeks following hospital discharge.</w:t>
      </w:r>
      <w:r w:rsidR="00462AB9" w:rsidRPr="00BE3138">
        <w:rPr>
          <w:color w:val="000000" w:themeColor="text1"/>
        </w:rPr>
        <w:t xml:space="preserve"> </w:t>
      </w:r>
      <w:r w:rsidR="00453579" w:rsidRPr="00BE3138">
        <w:rPr>
          <w:color w:val="000000" w:themeColor="text1"/>
        </w:rPr>
        <w:t>This</w:t>
      </w:r>
      <w:r w:rsidR="00A47F69" w:rsidRPr="00BE3138">
        <w:rPr>
          <w:color w:val="000000" w:themeColor="text1"/>
        </w:rPr>
        <w:t xml:space="preserve"> </w:t>
      </w:r>
      <w:r w:rsidR="00084C66" w:rsidRPr="00BE3138">
        <w:rPr>
          <w:color w:val="000000" w:themeColor="text1"/>
        </w:rPr>
        <w:t xml:space="preserve">qualitative </w:t>
      </w:r>
      <w:r w:rsidR="00A47F69" w:rsidRPr="00BE3138">
        <w:rPr>
          <w:color w:val="000000" w:themeColor="text1"/>
        </w:rPr>
        <w:t xml:space="preserve">study </w:t>
      </w:r>
      <w:r w:rsidR="00453579" w:rsidRPr="00BE3138">
        <w:rPr>
          <w:color w:val="000000" w:themeColor="text1"/>
        </w:rPr>
        <w:t>aimed</w:t>
      </w:r>
      <w:r w:rsidR="00A47F69" w:rsidRPr="00BE3138">
        <w:rPr>
          <w:color w:val="000000" w:themeColor="text1"/>
        </w:rPr>
        <w:t xml:space="preserve"> to explore </w:t>
      </w:r>
      <w:r w:rsidR="00142883" w:rsidRPr="00BE3138">
        <w:rPr>
          <w:color w:val="000000" w:themeColor="text1"/>
        </w:rPr>
        <w:t>the</w:t>
      </w:r>
      <w:r w:rsidR="009910A9" w:rsidRPr="00BE3138">
        <w:rPr>
          <w:color w:val="000000" w:themeColor="text1"/>
        </w:rPr>
        <w:t xml:space="preserve"> views of hospital pharmacists around </w:t>
      </w:r>
      <w:r w:rsidR="001B568B" w:rsidRPr="00BE3138">
        <w:rPr>
          <w:color w:val="000000" w:themeColor="text1"/>
        </w:rPr>
        <w:t xml:space="preserve">enablers and </w:t>
      </w:r>
      <w:r w:rsidR="00142883" w:rsidRPr="00BE3138">
        <w:rPr>
          <w:color w:val="000000" w:themeColor="text1"/>
        </w:rPr>
        <w:t>barrier</w:t>
      </w:r>
      <w:r w:rsidR="001B568B" w:rsidRPr="00BE3138">
        <w:rPr>
          <w:color w:val="000000" w:themeColor="text1"/>
        </w:rPr>
        <w:t>s</w:t>
      </w:r>
      <w:r w:rsidR="00142883" w:rsidRPr="00BE3138">
        <w:rPr>
          <w:color w:val="000000" w:themeColor="text1"/>
        </w:rPr>
        <w:t xml:space="preserve"> to clinical implementation of </w:t>
      </w:r>
      <w:r w:rsidR="0042306E" w:rsidRPr="00BE3138">
        <w:rPr>
          <w:color w:val="000000" w:themeColor="text1"/>
        </w:rPr>
        <w:t>th</w:t>
      </w:r>
      <w:r w:rsidR="009910A9" w:rsidRPr="00BE3138">
        <w:rPr>
          <w:color w:val="000000" w:themeColor="text1"/>
        </w:rPr>
        <w:t>e</w:t>
      </w:r>
      <w:r w:rsidR="00962C14" w:rsidRPr="00BE3138">
        <w:rPr>
          <w:color w:val="000000" w:themeColor="text1"/>
        </w:rPr>
        <w:t xml:space="preserve"> </w:t>
      </w:r>
      <w:r w:rsidR="007A0928" w:rsidRPr="00BE3138">
        <w:rPr>
          <w:color w:val="000000" w:themeColor="text1"/>
        </w:rPr>
        <w:t>PRIME-</w:t>
      </w:r>
      <w:r w:rsidR="00962C14" w:rsidRPr="00BE3138">
        <w:rPr>
          <w:color w:val="000000" w:themeColor="text1"/>
        </w:rPr>
        <w:t xml:space="preserve">RPT.  </w:t>
      </w:r>
      <w:r w:rsidR="00142883" w:rsidRPr="00BE3138">
        <w:rPr>
          <w:color w:val="000000" w:themeColor="text1"/>
        </w:rPr>
        <w:t xml:space="preserve"> </w:t>
      </w:r>
    </w:p>
    <w:p w14:paraId="2EAC1727" w14:textId="77777777" w:rsidR="0049161A" w:rsidRPr="00BE3138" w:rsidRDefault="0049161A" w:rsidP="00B34605">
      <w:pPr>
        <w:jc w:val="both"/>
        <w:rPr>
          <w:b/>
          <w:bCs/>
          <w:color w:val="000000" w:themeColor="text1"/>
        </w:rPr>
      </w:pPr>
    </w:p>
    <w:p w14:paraId="780A6CF3" w14:textId="33E5C235" w:rsidR="007F4625" w:rsidRPr="00BE3138" w:rsidRDefault="0049161A" w:rsidP="007F4625">
      <w:pPr>
        <w:jc w:val="both"/>
        <w:rPr>
          <w:b/>
          <w:bCs/>
          <w:color w:val="000000" w:themeColor="text1"/>
        </w:rPr>
      </w:pPr>
      <w:r w:rsidRPr="00BE3138">
        <w:rPr>
          <w:b/>
          <w:bCs/>
          <w:color w:val="000000" w:themeColor="text1"/>
        </w:rPr>
        <w:t>Methods</w:t>
      </w:r>
      <w:r w:rsidR="003E3A5D" w:rsidRPr="00BE3138">
        <w:rPr>
          <w:b/>
          <w:bCs/>
          <w:color w:val="000000" w:themeColor="text1"/>
        </w:rPr>
        <w:t>:</w:t>
      </w:r>
      <w:r w:rsidR="00204DCE" w:rsidRPr="00BE3138">
        <w:rPr>
          <w:b/>
          <w:bCs/>
          <w:color w:val="000000" w:themeColor="text1"/>
        </w:rPr>
        <w:t xml:space="preserve"> </w:t>
      </w:r>
      <w:r w:rsidR="00C42C45" w:rsidRPr="00BE3138">
        <w:rPr>
          <w:color w:val="000000" w:themeColor="text1"/>
        </w:rPr>
        <w:t>T</w:t>
      </w:r>
      <w:r w:rsidR="00526E55" w:rsidRPr="00BE3138">
        <w:rPr>
          <w:color w:val="000000" w:themeColor="text1"/>
        </w:rPr>
        <w:t>en hospital pharmacists: (band 6 (n=3); band 7 (n=2); band 8 (n=5)) participate</w:t>
      </w:r>
      <w:r w:rsidR="00CA566E" w:rsidRPr="00BE3138">
        <w:rPr>
          <w:color w:val="000000" w:themeColor="text1"/>
        </w:rPr>
        <w:t>d</w:t>
      </w:r>
      <w:r w:rsidR="00526E55" w:rsidRPr="00BE3138">
        <w:rPr>
          <w:color w:val="000000" w:themeColor="text1"/>
        </w:rPr>
        <w:t xml:space="preserve"> in semi-structured interviews</w:t>
      </w:r>
      <w:r w:rsidR="00C42C45" w:rsidRPr="00BE3138">
        <w:rPr>
          <w:color w:val="000000" w:themeColor="text1"/>
        </w:rPr>
        <w:t xml:space="preserve"> at the Royal Sussex County Hospital (Brighton, UK)</w:t>
      </w:r>
      <w:r w:rsidR="00526E55" w:rsidRPr="00BE3138">
        <w:rPr>
          <w:color w:val="000000" w:themeColor="text1"/>
        </w:rPr>
        <w:t>.</w:t>
      </w:r>
      <w:r w:rsidR="00526E55" w:rsidRPr="00BE3138">
        <w:rPr>
          <w:b/>
          <w:bCs/>
          <w:color w:val="000000" w:themeColor="text1"/>
        </w:rPr>
        <w:t xml:space="preserve"> </w:t>
      </w:r>
      <w:r w:rsidR="007F4625" w:rsidRPr="00BE3138">
        <w:rPr>
          <w:color w:val="000000" w:themeColor="text1"/>
        </w:rPr>
        <w:t>The</w:t>
      </w:r>
      <w:r w:rsidR="00C42C45" w:rsidRPr="00BE3138">
        <w:rPr>
          <w:color w:val="000000" w:themeColor="text1"/>
        </w:rPr>
        <w:t xml:space="preserve"> pharmacists</w:t>
      </w:r>
      <w:r w:rsidR="007F4625" w:rsidRPr="00BE3138">
        <w:rPr>
          <w:color w:val="000000" w:themeColor="text1"/>
        </w:rPr>
        <w:t xml:space="preserve"> were presented with five case</w:t>
      </w:r>
      <w:r w:rsidR="00610D55" w:rsidRPr="00BE3138">
        <w:rPr>
          <w:color w:val="000000" w:themeColor="text1"/>
        </w:rPr>
        <w:t>-</w:t>
      </w:r>
      <w:r w:rsidR="007F4625" w:rsidRPr="00BE3138">
        <w:rPr>
          <w:color w:val="000000" w:themeColor="text1"/>
        </w:rPr>
        <w:t>vignettes</w:t>
      </w:r>
      <w:r w:rsidR="00C42C45" w:rsidRPr="00BE3138">
        <w:rPr>
          <w:color w:val="000000" w:themeColor="text1"/>
        </w:rPr>
        <w:t xml:space="preserve"> each with a</w:t>
      </w:r>
      <w:r w:rsidR="007F4625" w:rsidRPr="00BE3138">
        <w:rPr>
          <w:color w:val="000000" w:themeColor="text1"/>
        </w:rPr>
        <w:t xml:space="preserve"> calculated PRIME-RPT score to help guide discussion.</w:t>
      </w:r>
      <w:r w:rsidR="007F4625" w:rsidRPr="00BE3138">
        <w:rPr>
          <w:b/>
          <w:bCs/>
          <w:color w:val="000000" w:themeColor="text1"/>
        </w:rPr>
        <w:t xml:space="preserve"> </w:t>
      </w:r>
      <w:r w:rsidR="007F4625" w:rsidRPr="00BE3138">
        <w:rPr>
          <w:color w:val="000000" w:themeColor="text1"/>
        </w:rPr>
        <w:t>Case</w:t>
      </w:r>
      <w:r w:rsidR="00610D55" w:rsidRPr="00BE3138">
        <w:rPr>
          <w:color w:val="000000" w:themeColor="text1"/>
        </w:rPr>
        <w:t>-</w:t>
      </w:r>
      <w:r w:rsidR="00204DCE" w:rsidRPr="00BE3138">
        <w:rPr>
          <w:color w:val="000000" w:themeColor="text1"/>
        </w:rPr>
        <w:t>vignettes were designed to be representative of common clinical encounters.</w:t>
      </w:r>
      <w:r w:rsidR="007F4625" w:rsidRPr="00BE3138">
        <w:rPr>
          <w:color w:val="000000" w:themeColor="text1"/>
        </w:rPr>
        <w:t xml:space="preserve"> Data were thematically analysed using a ‘framework’ approach</w:t>
      </w:r>
      <w:r w:rsidR="00B22B39" w:rsidRPr="00BE3138">
        <w:rPr>
          <w:color w:val="000000" w:themeColor="text1"/>
        </w:rPr>
        <w:t xml:space="preserve">. </w:t>
      </w:r>
    </w:p>
    <w:p w14:paraId="1957A468" w14:textId="77777777" w:rsidR="008039A1" w:rsidRPr="00BE3138" w:rsidRDefault="008039A1" w:rsidP="00B34605">
      <w:pPr>
        <w:jc w:val="both"/>
        <w:rPr>
          <w:b/>
          <w:bCs/>
          <w:color w:val="000000" w:themeColor="text1"/>
        </w:rPr>
      </w:pPr>
    </w:p>
    <w:p w14:paraId="0A9E6689" w14:textId="6A02FC90" w:rsidR="00F43DB1" w:rsidRPr="00BE3138" w:rsidRDefault="0049161A" w:rsidP="00B34605">
      <w:pPr>
        <w:jc w:val="both"/>
        <w:rPr>
          <w:bCs/>
          <w:color w:val="000000" w:themeColor="text1"/>
        </w:rPr>
      </w:pPr>
      <w:r w:rsidRPr="00BE3138">
        <w:rPr>
          <w:b/>
          <w:bCs/>
          <w:color w:val="000000" w:themeColor="text1"/>
        </w:rPr>
        <w:t>Results</w:t>
      </w:r>
      <w:r w:rsidR="003E3A5D" w:rsidRPr="00BE3138">
        <w:rPr>
          <w:b/>
          <w:bCs/>
          <w:color w:val="000000" w:themeColor="text1"/>
        </w:rPr>
        <w:t>:</w:t>
      </w:r>
      <w:r w:rsidR="00250898" w:rsidRPr="00BE3138">
        <w:rPr>
          <w:b/>
          <w:bCs/>
          <w:color w:val="000000" w:themeColor="text1"/>
        </w:rPr>
        <w:t xml:space="preserve"> </w:t>
      </w:r>
      <w:r w:rsidR="00250898" w:rsidRPr="00BE3138">
        <w:rPr>
          <w:bCs/>
          <w:color w:val="000000" w:themeColor="text1"/>
        </w:rPr>
        <w:t>S</w:t>
      </w:r>
      <w:r w:rsidR="004645E0" w:rsidRPr="00BE3138">
        <w:rPr>
          <w:bCs/>
          <w:color w:val="000000" w:themeColor="text1"/>
        </w:rPr>
        <w:t>eve</w:t>
      </w:r>
      <w:r w:rsidR="004B3D96" w:rsidRPr="00BE3138">
        <w:rPr>
          <w:bCs/>
          <w:color w:val="000000" w:themeColor="text1"/>
        </w:rPr>
        <w:t>n</w:t>
      </w:r>
      <w:r w:rsidR="004645E0" w:rsidRPr="00BE3138">
        <w:rPr>
          <w:bCs/>
          <w:color w:val="000000" w:themeColor="text1"/>
        </w:rPr>
        <w:t xml:space="preserve"> themes </w:t>
      </w:r>
      <w:r w:rsidR="004B3D96" w:rsidRPr="00BE3138">
        <w:rPr>
          <w:bCs/>
          <w:color w:val="000000" w:themeColor="text1"/>
        </w:rPr>
        <w:t xml:space="preserve">emerged in relation to the </w:t>
      </w:r>
      <w:r w:rsidR="000F3E62" w:rsidRPr="00BE3138">
        <w:rPr>
          <w:bCs/>
          <w:color w:val="000000" w:themeColor="text1"/>
        </w:rPr>
        <w:t>PRIME-</w:t>
      </w:r>
      <w:r w:rsidR="004B3D96" w:rsidRPr="00BE3138">
        <w:rPr>
          <w:bCs/>
          <w:color w:val="000000" w:themeColor="text1"/>
        </w:rPr>
        <w:t>RPT</w:t>
      </w:r>
      <w:r w:rsidR="00841A14" w:rsidRPr="00BE3138">
        <w:rPr>
          <w:bCs/>
          <w:color w:val="000000" w:themeColor="text1"/>
        </w:rPr>
        <w:t xml:space="preserve">: </w:t>
      </w:r>
      <w:r w:rsidR="004B3D96" w:rsidRPr="00BE3138">
        <w:rPr>
          <w:bCs/>
          <w:color w:val="000000" w:themeColor="text1"/>
        </w:rPr>
        <w:t xml:space="preserve">1. </w:t>
      </w:r>
      <w:r w:rsidR="000F3E62" w:rsidRPr="00BE3138">
        <w:rPr>
          <w:bCs/>
          <w:color w:val="000000" w:themeColor="text1"/>
        </w:rPr>
        <w:t>p</w:t>
      </w:r>
      <w:r w:rsidR="00841A14" w:rsidRPr="00BE3138">
        <w:rPr>
          <w:bCs/>
          <w:color w:val="000000" w:themeColor="text1"/>
        </w:rPr>
        <w:t>rovid</w:t>
      </w:r>
      <w:r w:rsidR="004B3D96" w:rsidRPr="00BE3138">
        <w:rPr>
          <w:bCs/>
          <w:color w:val="000000" w:themeColor="text1"/>
        </w:rPr>
        <w:t>ing</w:t>
      </w:r>
      <w:r w:rsidR="00841A14" w:rsidRPr="00BE3138">
        <w:rPr>
          <w:bCs/>
          <w:color w:val="000000" w:themeColor="text1"/>
        </w:rPr>
        <w:t xml:space="preserve"> a medicine</w:t>
      </w:r>
      <w:r w:rsidR="00250898" w:rsidRPr="00BE3138">
        <w:rPr>
          <w:bCs/>
          <w:color w:val="000000" w:themeColor="text1"/>
        </w:rPr>
        <w:t>-</w:t>
      </w:r>
      <w:r w:rsidR="004B3D96" w:rsidRPr="00BE3138">
        <w:rPr>
          <w:bCs/>
          <w:color w:val="000000" w:themeColor="text1"/>
        </w:rPr>
        <w:t>p</w:t>
      </w:r>
      <w:r w:rsidR="004645E0" w:rsidRPr="00BE3138">
        <w:rPr>
          <w:bCs/>
          <w:color w:val="000000" w:themeColor="text1"/>
        </w:rPr>
        <w:t>rioritisation aide;</w:t>
      </w:r>
      <w:r w:rsidR="00841A14" w:rsidRPr="00BE3138">
        <w:rPr>
          <w:bCs/>
          <w:color w:val="000000" w:themeColor="text1"/>
        </w:rPr>
        <w:t xml:space="preserve"> </w:t>
      </w:r>
      <w:r w:rsidR="004B3D96" w:rsidRPr="00BE3138">
        <w:rPr>
          <w:bCs/>
          <w:color w:val="000000" w:themeColor="text1"/>
        </w:rPr>
        <w:t xml:space="preserve">2. </w:t>
      </w:r>
      <w:r w:rsidR="000F3E62" w:rsidRPr="00BE3138">
        <w:rPr>
          <w:bCs/>
          <w:color w:val="000000" w:themeColor="text1"/>
        </w:rPr>
        <w:t xml:space="preserve">acting as </w:t>
      </w:r>
      <w:r w:rsidR="00A30B2B" w:rsidRPr="00BE3138">
        <w:rPr>
          <w:bCs/>
          <w:color w:val="000000" w:themeColor="text1"/>
        </w:rPr>
        <w:t xml:space="preserve">a </w:t>
      </w:r>
      <w:r w:rsidR="002E799E" w:rsidRPr="00BE3138">
        <w:rPr>
          <w:bCs/>
          <w:color w:val="000000" w:themeColor="text1"/>
        </w:rPr>
        <w:t>deprescribing alert</w:t>
      </w:r>
      <w:r w:rsidR="004645E0" w:rsidRPr="00BE3138">
        <w:rPr>
          <w:bCs/>
          <w:color w:val="000000" w:themeColor="text1"/>
        </w:rPr>
        <w:t>;</w:t>
      </w:r>
      <w:r w:rsidR="00841A14" w:rsidRPr="00BE3138">
        <w:rPr>
          <w:bCs/>
          <w:color w:val="000000" w:themeColor="text1"/>
        </w:rPr>
        <w:t xml:space="preserve"> </w:t>
      </w:r>
      <w:r w:rsidR="004B3D96" w:rsidRPr="00BE3138">
        <w:rPr>
          <w:bCs/>
          <w:color w:val="000000" w:themeColor="text1"/>
        </w:rPr>
        <w:t xml:space="preserve">3. </w:t>
      </w:r>
      <w:r w:rsidR="00841A14" w:rsidRPr="00BE3138">
        <w:rPr>
          <w:bCs/>
          <w:color w:val="000000" w:themeColor="text1"/>
        </w:rPr>
        <w:t>facilitat</w:t>
      </w:r>
      <w:r w:rsidR="004B3D96" w:rsidRPr="00BE3138">
        <w:rPr>
          <w:bCs/>
          <w:color w:val="000000" w:themeColor="text1"/>
        </w:rPr>
        <w:t>ing</w:t>
      </w:r>
      <w:r w:rsidR="00841A14" w:rsidRPr="00BE3138">
        <w:rPr>
          <w:bCs/>
          <w:color w:val="000000" w:themeColor="text1"/>
        </w:rPr>
        <w:t xml:space="preserve"> a </w:t>
      </w:r>
      <w:r w:rsidR="004B3D96" w:rsidRPr="00BE3138">
        <w:rPr>
          <w:bCs/>
          <w:color w:val="000000" w:themeColor="text1"/>
        </w:rPr>
        <w:t>h</w:t>
      </w:r>
      <w:r w:rsidR="004645E0" w:rsidRPr="00BE3138">
        <w:rPr>
          <w:bCs/>
          <w:color w:val="000000" w:themeColor="text1"/>
        </w:rPr>
        <w:t xml:space="preserve">olistic </w:t>
      </w:r>
      <w:r w:rsidR="00841A14" w:rsidRPr="00BE3138">
        <w:rPr>
          <w:bCs/>
          <w:color w:val="000000" w:themeColor="text1"/>
        </w:rPr>
        <w:t>re</w:t>
      </w:r>
      <w:r w:rsidR="004645E0" w:rsidRPr="00BE3138">
        <w:rPr>
          <w:bCs/>
          <w:color w:val="000000" w:themeColor="text1"/>
        </w:rPr>
        <w:t xml:space="preserve">view of </w:t>
      </w:r>
      <w:r w:rsidR="007C38F6" w:rsidRPr="00BE3138">
        <w:rPr>
          <w:bCs/>
          <w:color w:val="000000" w:themeColor="text1"/>
        </w:rPr>
        <w:t>patient’s</w:t>
      </w:r>
      <w:r w:rsidR="00012DBF" w:rsidRPr="00BE3138">
        <w:rPr>
          <w:bCs/>
          <w:color w:val="000000" w:themeColor="text1"/>
        </w:rPr>
        <w:t xml:space="preserve"> </w:t>
      </w:r>
      <w:r w:rsidR="00C955B1" w:rsidRPr="00BE3138">
        <w:rPr>
          <w:bCs/>
          <w:color w:val="000000" w:themeColor="text1"/>
        </w:rPr>
        <w:t>medication</w:t>
      </w:r>
      <w:r w:rsidR="006903ED" w:rsidRPr="00BE3138">
        <w:rPr>
          <w:bCs/>
          <w:color w:val="000000" w:themeColor="text1"/>
        </w:rPr>
        <w:t xml:space="preserve"> management</w:t>
      </w:r>
      <w:r w:rsidR="004645E0" w:rsidRPr="00BE3138">
        <w:rPr>
          <w:bCs/>
          <w:color w:val="000000" w:themeColor="text1"/>
        </w:rPr>
        <w:t>;</w:t>
      </w:r>
      <w:r w:rsidR="00841A14" w:rsidRPr="00BE3138">
        <w:rPr>
          <w:bCs/>
          <w:color w:val="000000" w:themeColor="text1"/>
        </w:rPr>
        <w:t xml:space="preserve"> </w:t>
      </w:r>
      <w:r w:rsidR="004B3D96" w:rsidRPr="00BE3138">
        <w:rPr>
          <w:bCs/>
          <w:color w:val="000000" w:themeColor="text1"/>
        </w:rPr>
        <w:t>4. simplifying</w:t>
      </w:r>
      <w:r w:rsidR="004645E0" w:rsidRPr="00BE3138">
        <w:rPr>
          <w:bCs/>
          <w:color w:val="000000" w:themeColor="text1"/>
        </w:rPr>
        <w:t xml:space="preserve"> </w:t>
      </w:r>
      <w:r w:rsidR="004B3D96" w:rsidRPr="00BE3138">
        <w:rPr>
          <w:bCs/>
          <w:color w:val="000000" w:themeColor="text1"/>
        </w:rPr>
        <w:t>c</w:t>
      </w:r>
      <w:r w:rsidR="004645E0" w:rsidRPr="00BE3138">
        <w:rPr>
          <w:bCs/>
          <w:color w:val="000000" w:themeColor="text1"/>
        </w:rPr>
        <w:t>ommunication</w:t>
      </w:r>
      <w:r w:rsidR="00841A14" w:rsidRPr="00BE3138">
        <w:rPr>
          <w:bCs/>
          <w:color w:val="000000" w:themeColor="text1"/>
        </w:rPr>
        <w:t xml:space="preserve"> </w:t>
      </w:r>
      <w:r w:rsidR="004645E0" w:rsidRPr="00BE3138">
        <w:rPr>
          <w:bCs/>
          <w:color w:val="000000" w:themeColor="text1"/>
        </w:rPr>
        <w:t xml:space="preserve">of </w:t>
      </w:r>
      <w:r w:rsidR="006903ED" w:rsidRPr="00BE3138">
        <w:rPr>
          <w:bCs/>
          <w:color w:val="000000" w:themeColor="text1"/>
        </w:rPr>
        <w:t>MRH</w:t>
      </w:r>
      <w:r w:rsidR="004645E0" w:rsidRPr="00BE3138">
        <w:rPr>
          <w:bCs/>
          <w:color w:val="000000" w:themeColor="text1"/>
        </w:rPr>
        <w:t xml:space="preserve"> to patients </w:t>
      </w:r>
      <w:r w:rsidR="006903ED" w:rsidRPr="00BE3138">
        <w:rPr>
          <w:bCs/>
          <w:color w:val="000000" w:themeColor="text1"/>
        </w:rPr>
        <w:t xml:space="preserve">and the multidisciplinary team; </w:t>
      </w:r>
      <w:r w:rsidR="004B3D96" w:rsidRPr="00BE3138">
        <w:rPr>
          <w:bCs/>
          <w:color w:val="000000" w:themeColor="text1"/>
        </w:rPr>
        <w:t xml:space="preserve">5. </w:t>
      </w:r>
      <w:r w:rsidR="00841A14" w:rsidRPr="00BE3138">
        <w:rPr>
          <w:bCs/>
          <w:color w:val="000000" w:themeColor="text1"/>
        </w:rPr>
        <w:t>streamlin</w:t>
      </w:r>
      <w:r w:rsidR="004B3D96" w:rsidRPr="00BE3138">
        <w:rPr>
          <w:bCs/>
          <w:color w:val="000000" w:themeColor="text1"/>
        </w:rPr>
        <w:t>ing</w:t>
      </w:r>
      <w:r w:rsidR="00841A14" w:rsidRPr="00BE3138">
        <w:rPr>
          <w:bCs/>
          <w:color w:val="000000" w:themeColor="text1"/>
        </w:rPr>
        <w:t xml:space="preserve"> </w:t>
      </w:r>
      <w:r w:rsidR="004B3D96" w:rsidRPr="00BE3138">
        <w:rPr>
          <w:bCs/>
          <w:color w:val="000000" w:themeColor="text1"/>
        </w:rPr>
        <w:t>c</w:t>
      </w:r>
      <w:r w:rsidR="004645E0" w:rsidRPr="00BE3138">
        <w:rPr>
          <w:bCs/>
          <w:color w:val="000000" w:themeColor="text1"/>
        </w:rPr>
        <w:t>ommunity follow</w:t>
      </w:r>
      <w:r w:rsidR="00012DBF" w:rsidRPr="00BE3138">
        <w:rPr>
          <w:bCs/>
          <w:color w:val="000000" w:themeColor="text1"/>
        </w:rPr>
        <w:t>-</w:t>
      </w:r>
      <w:r w:rsidR="004645E0" w:rsidRPr="00BE3138">
        <w:rPr>
          <w:bCs/>
          <w:color w:val="000000" w:themeColor="text1"/>
        </w:rPr>
        <w:t xml:space="preserve">up and integration of </w:t>
      </w:r>
      <w:r w:rsidR="00841A14" w:rsidRPr="00BE3138">
        <w:rPr>
          <w:bCs/>
          <w:color w:val="000000" w:themeColor="text1"/>
        </w:rPr>
        <w:t xml:space="preserve">risk discussion </w:t>
      </w:r>
      <w:r w:rsidR="004645E0" w:rsidRPr="00BE3138">
        <w:rPr>
          <w:bCs/>
          <w:color w:val="000000" w:themeColor="text1"/>
        </w:rPr>
        <w:t>into clinical practice</w:t>
      </w:r>
      <w:r w:rsidR="004B3D96" w:rsidRPr="00BE3138">
        <w:rPr>
          <w:bCs/>
          <w:color w:val="000000" w:themeColor="text1"/>
        </w:rPr>
        <w:t xml:space="preserve">; 6. </w:t>
      </w:r>
      <w:r w:rsidR="008857CB" w:rsidRPr="00BE3138">
        <w:rPr>
          <w:bCs/>
          <w:color w:val="000000" w:themeColor="text1"/>
        </w:rPr>
        <w:t xml:space="preserve">identifying barriers for </w:t>
      </w:r>
      <w:r w:rsidR="000477C3" w:rsidRPr="00BE3138">
        <w:rPr>
          <w:bCs/>
          <w:color w:val="000000" w:themeColor="text1"/>
        </w:rPr>
        <w:t>the RPTs</w:t>
      </w:r>
      <w:r w:rsidR="008857CB" w:rsidRPr="00BE3138">
        <w:rPr>
          <w:bCs/>
          <w:color w:val="000000" w:themeColor="text1"/>
        </w:rPr>
        <w:t xml:space="preserve"> integration in clinical practice </w:t>
      </w:r>
      <w:r w:rsidR="00841A14" w:rsidRPr="00BE3138">
        <w:rPr>
          <w:bCs/>
          <w:color w:val="000000" w:themeColor="text1"/>
        </w:rPr>
        <w:t xml:space="preserve">and </w:t>
      </w:r>
      <w:r w:rsidR="004B3D96" w:rsidRPr="00BE3138">
        <w:rPr>
          <w:bCs/>
          <w:color w:val="000000" w:themeColor="text1"/>
        </w:rPr>
        <w:t xml:space="preserve">7. </w:t>
      </w:r>
      <w:r w:rsidR="008857CB" w:rsidRPr="00BE3138">
        <w:rPr>
          <w:bCs/>
          <w:color w:val="000000" w:themeColor="text1"/>
        </w:rPr>
        <w:t xml:space="preserve">acknowledging </w:t>
      </w:r>
      <w:r w:rsidR="000477C3" w:rsidRPr="00BE3138">
        <w:rPr>
          <w:bCs/>
          <w:color w:val="000000" w:themeColor="text1"/>
        </w:rPr>
        <w:t xml:space="preserve">its </w:t>
      </w:r>
      <w:r w:rsidR="008857CB" w:rsidRPr="00BE3138">
        <w:rPr>
          <w:bCs/>
          <w:color w:val="000000" w:themeColor="text1"/>
        </w:rPr>
        <w:t>limitations</w:t>
      </w:r>
      <w:r w:rsidR="00841A14" w:rsidRPr="00BE3138">
        <w:rPr>
          <w:bCs/>
          <w:color w:val="000000" w:themeColor="text1"/>
        </w:rPr>
        <w:t>.</w:t>
      </w:r>
    </w:p>
    <w:p w14:paraId="79B5D1B7" w14:textId="77777777" w:rsidR="00250898" w:rsidRPr="00BE3138" w:rsidRDefault="00250898" w:rsidP="00B34605">
      <w:pPr>
        <w:jc w:val="both"/>
        <w:rPr>
          <w:bCs/>
          <w:color w:val="000000" w:themeColor="text1"/>
        </w:rPr>
      </w:pPr>
    </w:p>
    <w:p w14:paraId="2DB7FDF4" w14:textId="0E1325ED" w:rsidR="00A30B2B" w:rsidRPr="00BE3138" w:rsidRDefault="0049161A" w:rsidP="00A30B2B">
      <w:pPr>
        <w:jc w:val="both"/>
        <w:rPr>
          <w:bCs/>
          <w:color w:val="000000" w:themeColor="text1"/>
        </w:rPr>
      </w:pPr>
      <w:r w:rsidRPr="00BE3138">
        <w:rPr>
          <w:b/>
          <w:bCs/>
          <w:color w:val="000000" w:themeColor="text1"/>
        </w:rPr>
        <w:t>Conclusion</w:t>
      </w:r>
      <w:r w:rsidR="00D43D52" w:rsidRPr="00BE3138">
        <w:rPr>
          <w:b/>
          <w:bCs/>
          <w:color w:val="000000" w:themeColor="text1"/>
        </w:rPr>
        <w:t xml:space="preserve">: </w:t>
      </w:r>
      <w:r w:rsidR="00E8128E" w:rsidRPr="00BE3138">
        <w:rPr>
          <w:bCs/>
          <w:color w:val="000000" w:themeColor="text1"/>
        </w:rPr>
        <w:t>H</w:t>
      </w:r>
      <w:r w:rsidR="00B32143" w:rsidRPr="00BE3138">
        <w:rPr>
          <w:bCs/>
          <w:color w:val="000000" w:themeColor="text1"/>
        </w:rPr>
        <w:t>ospital pharmacist</w:t>
      </w:r>
      <w:r w:rsidR="004B3D96" w:rsidRPr="00BE3138">
        <w:rPr>
          <w:bCs/>
          <w:color w:val="000000" w:themeColor="text1"/>
        </w:rPr>
        <w:t>s</w:t>
      </w:r>
      <w:r w:rsidR="00E8128E" w:rsidRPr="00BE3138">
        <w:rPr>
          <w:bCs/>
          <w:color w:val="000000" w:themeColor="text1"/>
        </w:rPr>
        <w:t xml:space="preserve"> found the </w:t>
      </w:r>
      <w:r w:rsidR="00841A14" w:rsidRPr="00BE3138">
        <w:rPr>
          <w:bCs/>
          <w:color w:val="000000" w:themeColor="text1"/>
        </w:rPr>
        <w:t>PRIME-</w:t>
      </w:r>
      <w:r w:rsidR="00E8128E" w:rsidRPr="00BE3138">
        <w:rPr>
          <w:bCs/>
          <w:color w:val="000000" w:themeColor="text1"/>
        </w:rPr>
        <w:t xml:space="preserve">RPT </w:t>
      </w:r>
      <w:r w:rsidR="00841A14" w:rsidRPr="00BE3138">
        <w:rPr>
          <w:bCs/>
          <w:color w:val="000000" w:themeColor="text1"/>
        </w:rPr>
        <w:t>beneficial</w:t>
      </w:r>
      <w:r w:rsidR="00E8128E" w:rsidRPr="00BE3138">
        <w:rPr>
          <w:bCs/>
          <w:color w:val="000000" w:themeColor="text1"/>
        </w:rPr>
        <w:t xml:space="preserve"> in</w:t>
      </w:r>
      <w:r w:rsidR="00B32143" w:rsidRPr="00BE3138">
        <w:rPr>
          <w:bCs/>
          <w:color w:val="000000" w:themeColor="text1"/>
        </w:rPr>
        <w:t xml:space="preserve"> </w:t>
      </w:r>
      <w:r w:rsidR="00841A14" w:rsidRPr="00BE3138">
        <w:rPr>
          <w:bCs/>
          <w:color w:val="000000" w:themeColor="text1"/>
        </w:rPr>
        <w:t>identifyin</w:t>
      </w:r>
      <w:r w:rsidR="00B32143" w:rsidRPr="00BE3138">
        <w:rPr>
          <w:bCs/>
          <w:color w:val="000000" w:themeColor="text1"/>
        </w:rPr>
        <w:t xml:space="preserve">g </w:t>
      </w:r>
      <w:r w:rsidR="00841A14" w:rsidRPr="00BE3138">
        <w:rPr>
          <w:bCs/>
          <w:color w:val="000000" w:themeColor="text1"/>
        </w:rPr>
        <w:t xml:space="preserve">older </w:t>
      </w:r>
      <w:r w:rsidR="00B32143" w:rsidRPr="00BE3138">
        <w:rPr>
          <w:bCs/>
          <w:color w:val="000000" w:themeColor="text1"/>
        </w:rPr>
        <w:t xml:space="preserve">patients </w:t>
      </w:r>
      <w:r w:rsidR="00841A14" w:rsidRPr="00BE3138">
        <w:rPr>
          <w:bCs/>
          <w:color w:val="000000" w:themeColor="text1"/>
        </w:rPr>
        <w:t>at high</w:t>
      </w:r>
      <w:r w:rsidR="00C36D23" w:rsidRPr="00BE3138">
        <w:rPr>
          <w:bCs/>
          <w:color w:val="000000" w:themeColor="text1"/>
        </w:rPr>
        <w:t>-</w:t>
      </w:r>
      <w:r w:rsidR="00841A14" w:rsidRPr="00BE3138">
        <w:rPr>
          <w:bCs/>
          <w:color w:val="000000" w:themeColor="text1"/>
        </w:rPr>
        <w:t>risk of MR</w:t>
      </w:r>
      <w:r w:rsidR="004B3D96" w:rsidRPr="00BE3138">
        <w:rPr>
          <w:bCs/>
          <w:color w:val="000000" w:themeColor="text1"/>
        </w:rPr>
        <w:t>H</w:t>
      </w:r>
      <w:r w:rsidR="00841A14" w:rsidRPr="00BE3138">
        <w:rPr>
          <w:bCs/>
          <w:color w:val="000000" w:themeColor="text1"/>
        </w:rPr>
        <w:t xml:space="preserve"> following hospital </w:t>
      </w:r>
      <w:r w:rsidR="003C6403" w:rsidRPr="00BE3138">
        <w:rPr>
          <w:bCs/>
          <w:color w:val="000000" w:themeColor="text1"/>
        </w:rPr>
        <w:t>discharge</w:t>
      </w:r>
      <w:r w:rsidR="00A30B2B" w:rsidRPr="00BE3138">
        <w:rPr>
          <w:bCs/>
          <w:color w:val="000000" w:themeColor="text1"/>
        </w:rPr>
        <w:t xml:space="preserve">, facilitating </w:t>
      </w:r>
      <w:r w:rsidR="00A30B2B" w:rsidRPr="00BE3138">
        <w:rPr>
          <w:color w:val="000000" w:themeColor="text1"/>
        </w:rPr>
        <w:t>prioritising interventions to those at highest risk while still acknowledging its limitations.</w:t>
      </w:r>
      <w:bookmarkEnd w:id="0"/>
      <w:bookmarkEnd w:id="1"/>
    </w:p>
    <w:p w14:paraId="0FA2B59D" w14:textId="701E0A92" w:rsidR="00CA566E" w:rsidRDefault="00CA566E" w:rsidP="00A30B2B">
      <w:pPr>
        <w:jc w:val="both"/>
        <w:rPr>
          <w:bCs/>
          <w:color w:val="000000" w:themeColor="text1"/>
        </w:rPr>
      </w:pPr>
    </w:p>
    <w:p w14:paraId="4B886844" w14:textId="4B14E1D4" w:rsidR="00CA566E" w:rsidRDefault="00CA566E" w:rsidP="00A30B2B">
      <w:pPr>
        <w:jc w:val="both"/>
        <w:rPr>
          <w:bCs/>
          <w:color w:val="000000" w:themeColor="text1"/>
        </w:rPr>
      </w:pPr>
    </w:p>
    <w:p w14:paraId="7B2855C8" w14:textId="556FDCB4" w:rsidR="00CA566E" w:rsidRDefault="00CA566E" w:rsidP="00A30B2B">
      <w:pPr>
        <w:jc w:val="both"/>
        <w:rPr>
          <w:bCs/>
          <w:color w:val="000000" w:themeColor="text1"/>
        </w:rPr>
      </w:pPr>
    </w:p>
    <w:p w14:paraId="3F72D9C1" w14:textId="77777777" w:rsidR="00CA566E" w:rsidRPr="00CA566E" w:rsidRDefault="00CA566E" w:rsidP="00A30B2B">
      <w:pPr>
        <w:jc w:val="both"/>
        <w:rPr>
          <w:bCs/>
          <w:color w:val="000000" w:themeColor="text1"/>
        </w:rPr>
      </w:pPr>
    </w:p>
    <w:p w14:paraId="74488D42" w14:textId="77777777" w:rsidR="00A30B2B" w:rsidRPr="00A30B2B" w:rsidRDefault="00A30B2B" w:rsidP="00A30B2B">
      <w:pPr>
        <w:jc w:val="both"/>
      </w:pPr>
    </w:p>
    <w:p w14:paraId="348E164B" w14:textId="77777777" w:rsidR="002B40F7" w:rsidRDefault="002B40F7" w:rsidP="00B34605">
      <w:pPr>
        <w:jc w:val="both"/>
        <w:rPr>
          <w:b/>
          <w:bCs/>
          <w:sz w:val="28"/>
          <w:szCs w:val="28"/>
        </w:rPr>
      </w:pPr>
    </w:p>
    <w:p w14:paraId="1431B289" w14:textId="77777777" w:rsidR="007957D6" w:rsidRDefault="007957D6" w:rsidP="00B34605">
      <w:pPr>
        <w:jc w:val="both"/>
        <w:rPr>
          <w:b/>
          <w:bCs/>
          <w:sz w:val="28"/>
          <w:szCs w:val="28"/>
        </w:rPr>
      </w:pPr>
    </w:p>
    <w:p w14:paraId="3FBDE386" w14:textId="77777777" w:rsidR="007957D6" w:rsidRDefault="007957D6" w:rsidP="00B34605">
      <w:pPr>
        <w:jc w:val="both"/>
        <w:rPr>
          <w:b/>
          <w:bCs/>
          <w:sz w:val="28"/>
          <w:szCs w:val="28"/>
        </w:rPr>
      </w:pPr>
    </w:p>
    <w:p w14:paraId="7130C6F9" w14:textId="77777777" w:rsidR="007957D6" w:rsidRDefault="007957D6" w:rsidP="00B34605">
      <w:pPr>
        <w:jc w:val="both"/>
        <w:rPr>
          <w:b/>
          <w:bCs/>
          <w:sz w:val="28"/>
          <w:szCs w:val="28"/>
        </w:rPr>
      </w:pPr>
    </w:p>
    <w:p w14:paraId="0B76DCCE" w14:textId="77777777" w:rsidR="007957D6" w:rsidRDefault="007957D6" w:rsidP="00B34605">
      <w:pPr>
        <w:jc w:val="both"/>
        <w:rPr>
          <w:b/>
          <w:bCs/>
          <w:sz w:val="28"/>
          <w:szCs w:val="28"/>
        </w:rPr>
      </w:pPr>
    </w:p>
    <w:p w14:paraId="58C478CC" w14:textId="77777777" w:rsidR="007957D6" w:rsidRDefault="007957D6" w:rsidP="00B34605">
      <w:pPr>
        <w:jc w:val="both"/>
        <w:rPr>
          <w:b/>
          <w:bCs/>
          <w:sz w:val="28"/>
          <w:szCs w:val="28"/>
        </w:rPr>
      </w:pPr>
    </w:p>
    <w:p w14:paraId="3736DEF6" w14:textId="58EFD174" w:rsidR="007957D6" w:rsidRDefault="007957D6" w:rsidP="00B34605">
      <w:pPr>
        <w:jc w:val="both"/>
        <w:rPr>
          <w:b/>
          <w:bCs/>
          <w:sz w:val="28"/>
          <w:szCs w:val="28"/>
        </w:rPr>
      </w:pPr>
    </w:p>
    <w:p w14:paraId="034334BF" w14:textId="444B428D" w:rsidR="00773B8A" w:rsidRDefault="00773B8A" w:rsidP="00B34605">
      <w:pPr>
        <w:jc w:val="both"/>
        <w:rPr>
          <w:b/>
          <w:bCs/>
          <w:sz w:val="28"/>
          <w:szCs w:val="28"/>
        </w:rPr>
      </w:pPr>
    </w:p>
    <w:p w14:paraId="1644F9CA" w14:textId="6F2F6756" w:rsidR="00773B8A" w:rsidRDefault="00773B8A" w:rsidP="00B34605">
      <w:pPr>
        <w:jc w:val="both"/>
        <w:rPr>
          <w:b/>
          <w:bCs/>
          <w:sz w:val="28"/>
          <w:szCs w:val="28"/>
        </w:rPr>
      </w:pPr>
    </w:p>
    <w:p w14:paraId="089C4DD9" w14:textId="6F633E31" w:rsidR="00773B8A" w:rsidRDefault="00773B8A" w:rsidP="00B34605">
      <w:pPr>
        <w:jc w:val="both"/>
        <w:rPr>
          <w:b/>
          <w:bCs/>
          <w:sz w:val="28"/>
          <w:szCs w:val="28"/>
        </w:rPr>
      </w:pPr>
    </w:p>
    <w:p w14:paraId="4D55DF20" w14:textId="725DBC3E" w:rsidR="00773B8A" w:rsidRDefault="00773B8A" w:rsidP="00B34605">
      <w:pPr>
        <w:jc w:val="both"/>
        <w:rPr>
          <w:b/>
          <w:bCs/>
          <w:sz w:val="28"/>
          <w:szCs w:val="28"/>
        </w:rPr>
      </w:pPr>
    </w:p>
    <w:p w14:paraId="110B8CC3" w14:textId="0323E099" w:rsidR="00773B8A" w:rsidRDefault="00773B8A" w:rsidP="00B34605">
      <w:pPr>
        <w:jc w:val="both"/>
        <w:rPr>
          <w:b/>
          <w:bCs/>
          <w:sz w:val="28"/>
          <w:szCs w:val="28"/>
        </w:rPr>
      </w:pPr>
    </w:p>
    <w:p w14:paraId="126BF333" w14:textId="525DA60C" w:rsidR="00773B8A" w:rsidRDefault="00773B8A" w:rsidP="00B34605">
      <w:pPr>
        <w:jc w:val="both"/>
        <w:rPr>
          <w:b/>
          <w:bCs/>
          <w:sz w:val="28"/>
          <w:szCs w:val="28"/>
        </w:rPr>
      </w:pPr>
    </w:p>
    <w:p w14:paraId="6DB805E1" w14:textId="47C67BAE" w:rsidR="00773B8A" w:rsidRDefault="00773B8A" w:rsidP="00B34605">
      <w:pPr>
        <w:jc w:val="both"/>
        <w:rPr>
          <w:b/>
          <w:bCs/>
          <w:sz w:val="28"/>
          <w:szCs w:val="28"/>
        </w:rPr>
      </w:pPr>
    </w:p>
    <w:p w14:paraId="24838E44" w14:textId="77777777" w:rsidR="00773B8A" w:rsidRDefault="00773B8A" w:rsidP="00B34605">
      <w:pPr>
        <w:jc w:val="both"/>
        <w:rPr>
          <w:b/>
          <w:bCs/>
          <w:sz w:val="28"/>
          <w:szCs w:val="28"/>
        </w:rPr>
      </w:pPr>
    </w:p>
    <w:p w14:paraId="5A2918DB" w14:textId="77777777" w:rsidR="007957D6" w:rsidRDefault="007957D6" w:rsidP="00B34605">
      <w:pPr>
        <w:jc w:val="both"/>
        <w:rPr>
          <w:b/>
          <w:bCs/>
          <w:sz w:val="28"/>
          <w:szCs w:val="28"/>
        </w:rPr>
      </w:pPr>
    </w:p>
    <w:p w14:paraId="5CA2673B" w14:textId="4F1455B6" w:rsidR="004A3C62" w:rsidRPr="00EF7BCA" w:rsidRDefault="000860D8" w:rsidP="00B34605">
      <w:pPr>
        <w:jc w:val="both"/>
        <w:rPr>
          <w:bCs/>
          <w:color w:val="000000" w:themeColor="text1"/>
        </w:rPr>
      </w:pPr>
      <w:r w:rsidRPr="00EF7BCA">
        <w:rPr>
          <w:b/>
          <w:bCs/>
          <w:sz w:val="28"/>
          <w:szCs w:val="28"/>
        </w:rPr>
        <w:lastRenderedPageBreak/>
        <w:t>Introduction</w:t>
      </w:r>
    </w:p>
    <w:p w14:paraId="0DBC056F" w14:textId="77777777" w:rsidR="00C47F66" w:rsidRPr="00EF7BCA" w:rsidRDefault="00C47F66" w:rsidP="00B34605">
      <w:pPr>
        <w:jc w:val="both"/>
      </w:pPr>
    </w:p>
    <w:p w14:paraId="6BFA40B2" w14:textId="3D5DAE9E" w:rsidR="00725C7A" w:rsidRPr="00EF7BCA" w:rsidRDefault="004A3C62" w:rsidP="00B34605">
      <w:pPr>
        <w:jc w:val="both"/>
      </w:pPr>
      <w:r w:rsidRPr="00EF7BCA">
        <w:t xml:space="preserve">Medication related harm (MRH) including adverse drug reactions (ADRs), non-adherence and medication errors </w:t>
      </w:r>
      <w:r w:rsidRPr="00EF7BCA">
        <w:rPr>
          <w:color w:val="000000" w:themeColor="text1"/>
        </w:rPr>
        <w:t>are common during transition points of care</w:t>
      </w:r>
      <w:r w:rsidR="00957B04">
        <w:rPr>
          <w:color w:val="000000" w:themeColor="text1"/>
        </w:rPr>
        <w:t xml:space="preserve">. A recent review highlighted that MRH </w:t>
      </w:r>
      <w:r w:rsidR="00A96C8E" w:rsidRPr="00EF7BCA">
        <w:rPr>
          <w:color w:val="000000" w:themeColor="text1"/>
        </w:rPr>
        <w:t>affect</w:t>
      </w:r>
      <w:r w:rsidR="00957B04">
        <w:rPr>
          <w:color w:val="000000" w:themeColor="text1"/>
        </w:rPr>
        <w:t>ed between</w:t>
      </w:r>
      <w:r w:rsidR="00A96C8E" w:rsidRPr="00EF7BCA">
        <w:rPr>
          <w:color w:val="000000" w:themeColor="text1"/>
        </w:rPr>
        <w:t xml:space="preserve"> 17-51% of individuals within 30 days of hospital discharge </w:t>
      </w:r>
      <w:r w:rsidR="00A023A2" w:rsidRPr="00EF7BCA">
        <w:rPr>
          <w:color w:val="000000" w:themeColor="text1"/>
        </w:rPr>
        <w:fldChar w:fldCharType="begin" w:fldLock="1"/>
      </w:r>
      <w:r w:rsidR="00A023A2" w:rsidRPr="00EF7BCA">
        <w:rPr>
          <w:color w:val="000000" w:themeColor="text1"/>
        </w:rPr>
        <w:instrText>ADDIN CSL_CITATION {"citationItems":[{"id":"ITEM-1","itemData":{"DOI":"10.1111/jgs.15419","ISSN":"15325415","PMID":"29972591","abstract":"Objectives: To determine the incidence, severity, and preventability of and risk factors for medication-related harm (MRH) in community-dwelling older adults after hospital discharge. Design: Systematic review. Setting: A search of Medline, EMBASE, CINAHL, and the Cochrane Library was undertaken without time restrictions. Participants: Older adults (average age ≥65) participating in observational studies investigating postdischarge adverse drug reactions (ADRs) or adverse drug events (ADEs) within a defined follow-up period. Measurements: One author screened abstracts of all articles to exclude obviously irrelevant articles. Two authors independently screened the remaining articles for inclusion. Two authors independently extracted data, including study characteristics, MRH incidence, and risk factors; a third reviewer critically appraised and verified the data. Disagreements were resolved through discussion. Results: From 584 potentially relevant articles, 8 studies met our inclusion criteria: 5 North American and 3 European. Most of the included studies were of moderate quality. There was a wide range in MRH incidence, from 0.4% to 51.2% of participants, and 35% to 59% of MRH was preventable. MRH incidence within 30 days after discharge ranged from 167 to 500 events per 1,000 individuals discharged (17–51% of individuals). There is substantial methodological heterogeneity across multiple domains of the studies, including ADR and ADE definitions, characteristics of recruited populations, follow-up duration after discharge, and data collection. Conclusion: MRH is common after hospital discharge in older adults, but methodological inconsistencies between studies and a paucity of data on risk factors limits clear understanding of the epidemiology. There is a need for international consensus on conducting and reporting MRH studies. Data from large, multicenter studies examining a range of biopsychosocial risk factors could provide insight into this important area of safety.","author":[{"dropping-particle":"","family":"Parekh","given":"Nikesh","non-dropping-particle":"","parse-names":false,"suffix":""},{"dropping-particle":"","family":"Ali","given":"Khalid","non-dropping-particle":"","parse-names":false,"suffix":""},{"dropping-particle":"","family":"Page","given":"Amy","non-dropping-particle":"","parse-names":false,"suffix":""},{"dropping-particle":"","family":"Roper","given":"Tom","non-dropping-particle":"","parse-names":false,"suffix":""},{"dropping-particle":"","family":"Rajkumar","given":"Chakravarthi","non-dropping-particle":"","parse-names":false,"suffix":""}],"container-title":"Journal of the American Geriatrics Society","id":"ITEM-1","issue":"9","issued":{"date-parts":[["2018","9","1"]]},"page":"1812-1822","publisher":"Blackwell Publishing Inc.","title":"Incidence of Medication-Related Harm in Older Adults After Hospital Discharge: A Systematic Review","type":"article-journal","volume":"66"},"uris":["http://www.mendeley.com/documents/?uuid=4fc26614-ab81-3ef7-8e69-fb9cca623a48"]}],"mendeley":{"formattedCitation":"(1)","plainTextFormattedCitation":"(1)","previouslyFormattedCitation":"(1)"},"properties":{"noteIndex":0},"schema":"https://github.com/citation-style-language/schema/raw/master/csl-citation.json"}</w:instrText>
      </w:r>
      <w:r w:rsidR="00A023A2" w:rsidRPr="00EF7BCA">
        <w:rPr>
          <w:color w:val="000000" w:themeColor="text1"/>
        </w:rPr>
        <w:fldChar w:fldCharType="separate"/>
      </w:r>
      <w:r w:rsidR="00A023A2" w:rsidRPr="00EF7BCA">
        <w:rPr>
          <w:noProof/>
          <w:color w:val="000000" w:themeColor="text1"/>
        </w:rPr>
        <w:t>(1)</w:t>
      </w:r>
      <w:r w:rsidR="00A023A2" w:rsidRPr="00EF7BCA">
        <w:rPr>
          <w:color w:val="000000" w:themeColor="text1"/>
        </w:rPr>
        <w:fldChar w:fldCharType="end"/>
      </w:r>
      <w:r w:rsidR="00A023A2" w:rsidRPr="00EF7BCA">
        <w:rPr>
          <w:color w:val="000000" w:themeColor="text1"/>
        </w:rPr>
        <w:t>.</w:t>
      </w:r>
      <w:r w:rsidR="00D311F8">
        <w:rPr>
          <w:color w:val="000000" w:themeColor="text1"/>
        </w:rPr>
        <w:t xml:space="preserve">  </w:t>
      </w:r>
      <w:r w:rsidR="00225B4D" w:rsidRPr="00EF7BCA">
        <w:rPr>
          <w:color w:val="000000" w:themeColor="text1"/>
        </w:rPr>
        <w:t xml:space="preserve"> </w:t>
      </w:r>
      <w:r w:rsidR="007C66A4">
        <w:rPr>
          <w:color w:val="000000" w:themeColor="text1"/>
        </w:rPr>
        <w:t xml:space="preserve">In a UK based </w:t>
      </w:r>
      <w:r w:rsidR="007C66A4" w:rsidRPr="00EF7BCA">
        <w:rPr>
          <w:color w:val="000000" w:themeColor="text1"/>
        </w:rPr>
        <w:t xml:space="preserve">observational, multicentred, prospective cohort study </w:t>
      </w:r>
      <w:r w:rsidR="00C954C1" w:rsidRPr="00EF7BCA">
        <w:rPr>
          <w:color w:val="000000" w:themeColor="text1"/>
        </w:rPr>
        <w:t xml:space="preserve">37% of older people suffered MRH in the </w:t>
      </w:r>
      <w:r w:rsidR="00C954C1">
        <w:rPr>
          <w:color w:val="000000" w:themeColor="text1"/>
        </w:rPr>
        <w:t>eight</w:t>
      </w:r>
      <w:r w:rsidR="00C954C1" w:rsidRPr="00EF7BCA">
        <w:rPr>
          <w:color w:val="000000" w:themeColor="text1"/>
        </w:rPr>
        <w:t>-week period post discharge with an estimated cost of £396 million annually</w:t>
      </w:r>
      <w:r w:rsidR="00C954C1">
        <w:rPr>
          <w:color w:val="000000" w:themeColor="text1"/>
        </w:rPr>
        <w:t xml:space="preserve"> of which </w:t>
      </w:r>
      <w:r w:rsidR="00C954C1" w:rsidRPr="00EF7BCA">
        <w:rPr>
          <w:color w:val="000000" w:themeColor="text1"/>
        </w:rPr>
        <w:t>£243</w:t>
      </w:r>
      <w:r w:rsidR="00C954C1">
        <w:rPr>
          <w:color w:val="000000" w:themeColor="text1"/>
        </w:rPr>
        <w:t xml:space="preserve"> </w:t>
      </w:r>
      <w:r w:rsidR="00C954C1" w:rsidRPr="00EF7BCA">
        <w:rPr>
          <w:color w:val="000000" w:themeColor="text1"/>
        </w:rPr>
        <w:t>million</w:t>
      </w:r>
      <w:r w:rsidR="00C954C1">
        <w:rPr>
          <w:color w:val="000000" w:themeColor="text1"/>
        </w:rPr>
        <w:t xml:space="preserve"> is</w:t>
      </w:r>
      <w:r w:rsidR="00C954C1" w:rsidRPr="00EF7BCA">
        <w:rPr>
          <w:color w:val="000000" w:themeColor="text1"/>
        </w:rPr>
        <w:t xml:space="preserve"> potentially preventable </w:t>
      </w:r>
      <w:r w:rsidR="00C954C1">
        <w:rPr>
          <w:color w:val="000000" w:themeColor="text1"/>
        </w:rPr>
        <w:fldChar w:fldCharType="begin" w:fldLock="1"/>
      </w:r>
      <w:r w:rsidR="00C954C1">
        <w:rPr>
          <w:color w:val="000000" w:themeColor="text1"/>
        </w:rPr>
        <w:instrText>ADDIN CSL_CITATION {"citationItems":[{"id":"ITEM-1","itemData":{"DOI":"10.1111/bcp.13613","ISSN":"13652125","PMID":"29790202","abstract":"Aims: Polypharmacy is increasingly common in older adults, placing them at risk of medication-related harm (MRH). Patients are particularly vulnerable to problems with their medications in the period following hospital discharge due to medication changes and poor information transfer between hospital and primary care. The aim of the present study was to investigate the incidence, severity, preventability and cost of MRH in older adults in England postdischarge. Methods: An observational, multicentre, prospective cohort study recruited 1280 older adults (median age 82 years) from five teaching hospitals in Southern England, UK. Participants were followed up for 8 weeks by senior pharmacists, using three data sources (hospital readmission review, participant telephone interview and primary care records), to identify MRH and associated health service utilization. Results: Overall, 413 participants (37%) experienced MRH (556 MRH events per 1000 discharges), of which 336 (81%) cases were serious and 214 (52%) potentially preventable. Four participants experienced fatal MRH. The most common MRH events were gastrointestinal (n = 158, 25%) or neurological (n = 111, 18%). The medicine classes associated with the highest risk of MRH were opiates, antibiotics and benzodiazepines. A total of 328 (79%) participants with MRH sought healthcare over the 8-week follow-up. The incidence of MRH-associated hospital readmission was 78 per 1000 discharges. Postdischarge MRH in older adults is estimated to cost the National Health Service £396 million annually, of which £243 million is potentially preventable. Conclusions: MRH is common in older adults following hospital discharge, and results in substantial use of healthcare resources.","author":[{"dropping-particle":"","family":"Parekh","given":"Nikesh","non-dropping-particle":"","parse-names":false,"suffix":""},{"dropping-particle":"","family":"Ali","given":"Khalid","non-dropping-particle":"","parse-names":false,"suffix":""},{"dropping-particle":"","family":"Stevenson","given":"Jennifer M.","non-dropping-particle":"","parse-names":false,"suffix":""},{"dropping-particle":"","family":"Davies","given":"J. Graham","non-dropping-particle":"","parse-names":false,"suffix":""},{"dropping-particle":"","family":"Schiff","given":"Rebekah","non-dropping-particle":"","parse-names":false,"suffix":""},{"dropping-particle":"","family":"Cammen","given":"Tischa","non-dropping-particle":"Van der","parse-names":false,"suffix":""},{"dropping-particle":"","family":"Harchowal","given":"Jatinder","non-dropping-particle":"","parse-names":false,"suffix":""},{"dropping-particle":"","family":"Raftery","given":"James","non-dropping-particle":"","parse-names":false,"suffix":""},{"dropping-particle":"","family":"Rajkumar","given":"Chakravarthi","non-dropping-particle":"","parse-names":false,"suffix":""}],"container-title":"British Journal of Clinical Pharmacology","id":"ITEM-1","issue":"8","issued":{"date-parts":[["2018","8","1"]]},"page":"1789-1797","publisher":"Blackwell Publishing Ltd","title":"Incidence and cost of medication harm in older adults following hospital discharge: a multicentre prospective study in the UK","type":"article-journal","volume":"84"},"uris":["http://www.mendeley.com/documents/?uuid=267249f8-c15b-36eb-a73e-766230bc292e"]}],"mendeley":{"formattedCitation":"(2)","plainTextFormattedCitation":"(2)","previouslyFormattedCitation":"(2)"},"properties":{"noteIndex":0},"schema":"https://github.com/citation-style-language/schema/raw/master/csl-citation.json"}</w:instrText>
      </w:r>
      <w:r w:rsidR="00C954C1">
        <w:rPr>
          <w:color w:val="000000" w:themeColor="text1"/>
        </w:rPr>
        <w:fldChar w:fldCharType="separate"/>
      </w:r>
      <w:r w:rsidR="00C954C1" w:rsidRPr="002D08A8">
        <w:rPr>
          <w:noProof/>
          <w:color w:val="000000" w:themeColor="text1"/>
        </w:rPr>
        <w:t>(2)</w:t>
      </w:r>
      <w:r w:rsidR="00C954C1">
        <w:rPr>
          <w:color w:val="000000" w:themeColor="text1"/>
        </w:rPr>
        <w:fldChar w:fldCharType="end"/>
      </w:r>
      <w:r w:rsidR="00C954C1" w:rsidRPr="00EF7BCA">
        <w:rPr>
          <w:color w:val="000000" w:themeColor="text1"/>
        </w:rPr>
        <w:t>.</w:t>
      </w:r>
      <w:r w:rsidR="00C954C1">
        <w:rPr>
          <w:color w:val="000000" w:themeColor="text1"/>
        </w:rPr>
        <w:t xml:space="preserve"> </w:t>
      </w:r>
      <w:r w:rsidR="00D311F8" w:rsidRPr="00EF7BCA">
        <w:t xml:space="preserve">Strategies to address MRH at transition points of </w:t>
      </w:r>
      <w:r w:rsidR="00D311F8" w:rsidRPr="00EF7BCA">
        <w:rPr>
          <w:color w:val="000000" w:themeColor="text1"/>
        </w:rPr>
        <w:t>care include medicines’ reconciliation to reduce the number of unintentional medicine discrepancies</w:t>
      </w:r>
      <w:r w:rsidR="00744E33">
        <w:rPr>
          <w:color w:val="000000" w:themeColor="text1"/>
        </w:rPr>
        <w:t xml:space="preserve"> delivered via, for example, </w:t>
      </w:r>
      <w:r w:rsidR="00B80772">
        <w:rPr>
          <w:color w:val="000000" w:themeColor="text1"/>
        </w:rPr>
        <w:t xml:space="preserve">NHS England </w:t>
      </w:r>
      <w:r w:rsidR="00A1436B">
        <w:rPr>
          <w:color w:val="000000" w:themeColor="text1"/>
        </w:rPr>
        <w:t>Discharge Medicines Service</w:t>
      </w:r>
      <w:r w:rsidR="000F1B04">
        <w:rPr>
          <w:color w:val="000000" w:themeColor="text1"/>
        </w:rPr>
        <w:t xml:space="preserve"> </w:t>
      </w:r>
      <w:r w:rsidR="000F1B04">
        <w:rPr>
          <w:color w:val="000000" w:themeColor="text1"/>
        </w:rPr>
        <w:fldChar w:fldCharType="begin" w:fldLock="1"/>
      </w:r>
      <w:r w:rsidR="003D6AB7">
        <w:rPr>
          <w:color w:val="000000" w:themeColor="text1"/>
        </w:rPr>
        <w:instrText>ADDIN CSL_CITATION {"citationItems":[{"id":"ITEM-1","itemData":{"abstract":"NHS England and Improvement (2021) NHS Discharge Medicines Service- Toolkit for pharmacy staff in community , primary and secondary care.","author":[{"dropping-particle":"","family":"NHS England","given":"","non-dropping-particle":"","parse-names":false,"suffix":""}],"id":"ITEM-1","issue":"January","issued":{"date-parts":[["2021"]]},"number-of-pages":"1-24","title":"NHS Discharge Medicines Service- Toolkit for pharmacy staff in community , primary and secondary care","type":"report"},"uris":["http://www.mendeley.com/documents/?uuid=a4bb3add-8261-3bf6-811b-907a5a4f164e"]}],"mendeley":{"formattedCitation":"(3)","plainTextFormattedCitation":"(3)","previouslyFormattedCitation":"(3)"},"properties":{"noteIndex":0},"schema":"https://github.com/citation-style-language/schema/raw/master/csl-citation.json"}</w:instrText>
      </w:r>
      <w:r w:rsidR="000F1B04">
        <w:rPr>
          <w:color w:val="000000" w:themeColor="text1"/>
        </w:rPr>
        <w:fldChar w:fldCharType="separate"/>
      </w:r>
      <w:r w:rsidR="000F1B04" w:rsidRPr="000F1B04">
        <w:rPr>
          <w:noProof/>
          <w:color w:val="000000" w:themeColor="text1"/>
        </w:rPr>
        <w:t>(3)</w:t>
      </w:r>
      <w:r w:rsidR="000F1B04">
        <w:rPr>
          <w:color w:val="000000" w:themeColor="text1"/>
        </w:rPr>
        <w:fldChar w:fldCharType="end"/>
      </w:r>
      <w:r w:rsidR="00744E33">
        <w:rPr>
          <w:color w:val="000000" w:themeColor="text1"/>
        </w:rPr>
        <w:t xml:space="preserve">. </w:t>
      </w:r>
      <w:r w:rsidR="004B15FA">
        <w:rPr>
          <w:color w:val="000000" w:themeColor="text1"/>
        </w:rPr>
        <w:t>However, to allocate resources efficiently</w:t>
      </w:r>
      <w:r w:rsidR="00A171F8">
        <w:rPr>
          <w:color w:val="000000" w:themeColor="text1"/>
        </w:rPr>
        <w:t xml:space="preserve"> a t</w:t>
      </w:r>
      <w:r w:rsidR="00C34C50">
        <w:rPr>
          <w:color w:val="000000" w:themeColor="text1"/>
        </w:rPr>
        <w:t>argeted approach, prioritising patients most at risk</w:t>
      </w:r>
      <w:r w:rsidR="00A171F8">
        <w:rPr>
          <w:color w:val="000000" w:themeColor="text1"/>
        </w:rPr>
        <w:t>, is needed</w:t>
      </w:r>
      <w:r w:rsidR="003F0442">
        <w:rPr>
          <w:color w:val="000000" w:themeColor="text1"/>
        </w:rPr>
        <w:t>.</w:t>
      </w:r>
      <w:r w:rsidR="00FC186A">
        <w:rPr>
          <w:color w:val="000000" w:themeColor="text1"/>
        </w:rPr>
        <w:t xml:space="preserve"> </w:t>
      </w:r>
    </w:p>
    <w:p w14:paraId="45548ED9" w14:textId="77777777" w:rsidR="00CB6B1C" w:rsidRPr="00EF7BCA" w:rsidRDefault="00CB6B1C" w:rsidP="00350F1B">
      <w:pPr>
        <w:jc w:val="both"/>
        <w:rPr>
          <w:color w:val="000000" w:themeColor="text1"/>
        </w:rPr>
      </w:pPr>
    </w:p>
    <w:p w14:paraId="3294C894" w14:textId="48A6BDA8" w:rsidR="00F77EE6" w:rsidRDefault="00664D77" w:rsidP="00350F1B">
      <w:pPr>
        <w:jc w:val="both"/>
        <w:rPr>
          <w:color w:val="000000" w:themeColor="text1"/>
        </w:rPr>
      </w:pPr>
      <w:r>
        <w:rPr>
          <w:color w:val="000000" w:themeColor="text1"/>
        </w:rPr>
        <w:t xml:space="preserve">Future risk can be </w:t>
      </w:r>
      <w:r w:rsidR="00514D93">
        <w:rPr>
          <w:color w:val="000000" w:themeColor="text1"/>
        </w:rPr>
        <w:t>estimated using</w:t>
      </w:r>
      <w:r>
        <w:rPr>
          <w:color w:val="000000" w:themeColor="text1"/>
        </w:rPr>
        <w:t xml:space="preserve"> </w:t>
      </w:r>
      <w:r w:rsidR="00514D93">
        <w:rPr>
          <w:color w:val="000000" w:themeColor="text1"/>
        </w:rPr>
        <w:t>r</w:t>
      </w:r>
      <w:r w:rsidR="00B40297" w:rsidRPr="00EF7BCA">
        <w:rPr>
          <w:color w:val="000000" w:themeColor="text1"/>
        </w:rPr>
        <w:t xml:space="preserve">isk prediction </w:t>
      </w:r>
      <w:r w:rsidR="00957B04">
        <w:rPr>
          <w:color w:val="000000" w:themeColor="text1"/>
        </w:rPr>
        <w:t>tools</w:t>
      </w:r>
      <w:r w:rsidR="00514D93">
        <w:rPr>
          <w:color w:val="000000" w:themeColor="text1"/>
        </w:rPr>
        <w:t xml:space="preserve"> (RPT)</w:t>
      </w:r>
      <w:r>
        <w:rPr>
          <w:color w:val="000000" w:themeColor="text1"/>
        </w:rPr>
        <w:t>, many o</w:t>
      </w:r>
      <w:r w:rsidR="00514D93">
        <w:rPr>
          <w:color w:val="000000" w:themeColor="text1"/>
        </w:rPr>
        <w:t>f which</w:t>
      </w:r>
      <w:r w:rsidR="00957B04">
        <w:rPr>
          <w:color w:val="000000" w:themeColor="text1"/>
        </w:rPr>
        <w:t xml:space="preserve"> are</w:t>
      </w:r>
      <w:r w:rsidR="00B40297" w:rsidRPr="00EF7BCA">
        <w:rPr>
          <w:color w:val="000000" w:themeColor="text1"/>
        </w:rPr>
        <w:t xml:space="preserve"> routine</w:t>
      </w:r>
      <w:r w:rsidR="00957B04">
        <w:rPr>
          <w:color w:val="000000" w:themeColor="text1"/>
        </w:rPr>
        <w:t>ly used in</w:t>
      </w:r>
      <w:r w:rsidR="00B40297" w:rsidRPr="00EF7BCA">
        <w:rPr>
          <w:color w:val="000000" w:themeColor="text1"/>
        </w:rPr>
        <w:t xml:space="preserve"> </w:t>
      </w:r>
      <w:r w:rsidR="00F02E76" w:rsidRPr="00EF7BCA">
        <w:rPr>
          <w:color w:val="000000" w:themeColor="text1"/>
        </w:rPr>
        <w:t xml:space="preserve">clinical practice </w:t>
      </w:r>
      <w:r w:rsidR="00957B04">
        <w:rPr>
          <w:color w:val="000000" w:themeColor="text1"/>
        </w:rPr>
        <w:t xml:space="preserve">to </w:t>
      </w:r>
      <w:r w:rsidR="00F02E76" w:rsidRPr="00EF7BCA">
        <w:rPr>
          <w:color w:val="000000" w:themeColor="text1"/>
        </w:rPr>
        <w:t>inform decisions</w:t>
      </w:r>
      <w:r w:rsidR="00B40297" w:rsidRPr="00EF7BCA">
        <w:rPr>
          <w:color w:val="000000" w:themeColor="text1"/>
        </w:rPr>
        <w:t xml:space="preserve">. </w:t>
      </w:r>
      <w:r w:rsidR="00FE2E57">
        <w:rPr>
          <w:color w:val="000000" w:themeColor="text1"/>
        </w:rPr>
        <w:t>For example, t</w:t>
      </w:r>
      <w:r w:rsidR="00B23822" w:rsidRPr="00EF7BCA">
        <w:rPr>
          <w:color w:val="000000" w:themeColor="text1"/>
        </w:rPr>
        <w:t xml:space="preserve">he </w:t>
      </w:r>
      <w:r w:rsidR="0009018B" w:rsidRPr="00EF7BCA">
        <w:rPr>
          <w:color w:val="000000" w:themeColor="text1"/>
        </w:rPr>
        <w:t>CHA</w:t>
      </w:r>
      <w:r w:rsidR="0009018B" w:rsidRPr="00EF7BCA">
        <w:rPr>
          <w:color w:val="000000" w:themeColor="text1"/>
          <w:vertAlign w:val="subscript"/>
        </w:rPr>
        <w:t>2</w:t>
      </w:r>
      <w:r w:rsidR="0009018B" w:rsidRPr="00EF7BCA">
        <w:rPr>
          <w:color w:val="000000" w:themeColor="text1"/>
        </w:rPr>
        <w:t>DS</w:t>
      </w:r>
      <w:r w:rsidR="0009018B" w:rsidRPr="00EF7BCA">
        <w:rPr>
          <w:color w:val="000000" w:themeColor="text1"/>
          <w:vertAlign w:val="subscript"/>
        </w:rPr>
        <w:t>2</w:t>
      </w:r>
      <w:r w:rsidR="0009018B" w:rsidRPr="00EF7BCA">
        <w:rPr>
          <w:color w:val="000000" w:themeColor="text1"/>
        </w:rPr>
        <w:t xml:space="preserve">-VASc </w:t>
      </w:r>
      <w:r w:rsidR="00B23822" w:rsidRPr="00EF7BCA">
        <w:rPr>
          <w:color w:val="000000" w:themeColor="text1"/>
        </w:rPr>
        <w:t>scor</w:t>
      </w:r>
      <w:r w:rsidR="009137C7" w:rsidRPr="00EF7BCA">
        <w:rPr>
          <w:color w:val="000000" w:themeColor="text1"/>
        </w:rPr>
        <w:t>e</w:t>
      </w:r>
      <w:r w:rsidR="00957B04">
        <w:rPr>
          <w:color w:val="000000" w:themeColor="text1"/>
        </w:rPr>
        <w:t>,</w:t>
      </w:r>
      <w:r w:rsidR="009137C7" w:rsidRPr="00EF7BCA">
        <w:rPr>
          <w:color w:val="000000" w:themeColor="text1"/>
        </w:rPr>
        <w:t xml:space="preserve"> </w:t>
      </w:r>
      <w:r w:rsidR="00B40297" w:rsidRPr="00EF7BCA">
        <w:rPr>
          <w:color w:val="000000" w:themeColor="text1"/>
        </w:rPr>
        <w:t xml:space="preserve">in conjunction with </w:t>
      </w:r>
      <w:r w:rsidR="00B23822" w:rsidRPr="00EF7BCA">
        <w:rPr>
          <w:color w:val="000000" w:themeColor="text1"/>
        </w:rPr>
        <w:t>HASBLED</w:t>
      </w:r>
      <w:r w:rsidR="00561620" w:rsidRPr="00EF7BCA">
        <w:rPr>
          <w:color w:val="000000" w:themeColor="text1"/>
        </w:rPr>
        <w:t xml:space="preserve"> </w:t>
      </w:r>
      <w:r w:rsidR="00B40297" w:rsidRPr="00EF7BCA">
        <w:rPr>
          <w:color w:val="000000" w:themeColor="text1"/>
        </w:rPr>
        <w:t>score</w:t>
      </w:r>
      <w:r w:rsidR="00957B04">
        <w:rPr>
          <w:color w:val="000000" w:themeColor="text1"/>
        </w:rPr>
        <w:t>,</w:t>
      </w:r>
      <w:r w:rsidR="00B40297" w:rsidRPr="00EF7BCA">
        <w:rPr>
          <w:color w:val="000000" w:themeColor="text1"/>
        </w:rPr>
        <w:t xml:space="preserve"> </w:t>
      </w:r>
      <w:r w:rsidR="009137C7" w:rsidRPr="00EF7BCA">
        <w:rPr>
          <w:color w:val="000000" w:themeColor="text1"/>
        </w:rPr>
        <w:t>helps determine the</w:t>
      </w:r>
      <w:r w:rsidR="00BB3093">
        <w:rPr>
          <w:color w:val="000000" w:themeColor="text1"/>
        </w:rPr>
        <w:t xml:space="preserve"> risk/benefit of</w:t>
      </w:r>
      <w:r w:rsidR="009137C7" w:rsidRPr="00EF7BCA">
        <w:rPr>
          <w:color w:val="000000" w:themeColor="text1"/>
        </w:rPr>
        <w:t xml:space="preserve"> anticoagulation to prevent stroke in patients with atrial fibrillation</w:t>
      </w:r>
      <w:r w:rsidR="002C112B" w:rsidRPr="00EF7BCA">
        <w:rPr>
          <w:color w:val="000000" w:themeColor="text1"/>
        </w:rPr>
        <w:t xml:space="preserve"> </w:t>
      </w:r>
      <w:r w:rsidR="002C112B" w:rsidRPr="00EF7BCA">
        <w:rPr>
          <w:color w:val="000000" w:themeColor="text1"/>
        </w:rPr>
        <w:fldChar w:fldCharType="begin" w:fldLock="1"/>
      </w:r>
      <w:r w:rsidR="003D6AB7">
        <w:rPr>
          <w:color w:val="000000" w:themeColor="text1"/>
        </w:rPr>
        <w:instrText>ADDIN CSL_CITATION {"citationItems":[{"id":"ITEM-1","itemData":{"DOI":"10.1093/eurheartj/ehaa612","ISSN":"0195-668X","abstract":"For the Supplementary Data which include background information and detailed discussion of the data that have provided the basis for the Guidelines see European Heart Journal online. Click here to access the corresponding chapter in section 41- Atrial fibrillation","author":[{"dropping-particle":"","family":"Hindricks","given":"Gerhard","non-dropping-particle":"","parse-names":false,"suffix":""},{"dropping-particle":"","family":"Potpara","given":"Tatjana","non-dropping-particle":"","parse-names":false,"suffix":""},{"dropping-particle":"","family":"Dagres","given":"Nikolaos","non-dropping-particle":"","parse-names":false,"suffix":""},{"dropping-particle":"","family":"Arbelo","given":"Elena","non-dropping-particle":"","parse-names":false,"suffix":""},{"dropping-particle":"","family":"Bax","given":"Jeroen J","non-dropping-particle":"","parse-names":false,"suffix":""},{"dropping-particle":"","family":"Blomström-Lundqvist","given":"Carina","non-dropping-particle":"","parse-names":false,"suffix":""},{"dropping-particle":"","family":"Boriani","given":"Giuseppe","non-dropping-particle":"","parse-names":false,"suffix":""},{"dropping-particle":"","family":"Castella","given":"Manuel","non-dropping-particle":"","parse-names":false,"suffix":""},{"dropping-particle":"","family":"Dan","given":"Gheorghe-Andrei","non-dropping-particle":"","parse-names":false,"suffix":""},{"dropping-particle":"","family":"Dilaveris","given":"Polychronis E","non-dropping-particle":"","parse-names":false,"suffix":""},{"dropping-particle":"","family":"Fauchier","given":"Laurent","non-dropping-particle":"","parse-names":false,"suffix":""},{"dropping-particle":"","family":"Filippatos","given":"Gerasimos","non-dropping-particle":"","parse-names":false,"suffix":""},{"dropping-particle":"","family":"Kalman","given":"Jonathan M","non-dropping-particle":"","parse-names":false,"suffix":""},{"dropping-particle":"","family":"Meir","given":"Mark","non-dropping-particle":"La","parse-names":false,"suffix":""},{"dropping-particle":"","family":"Lane","given":"Deirdre A","non-dropping-particle":"","parse-names":false,"suffix":""},{"dropping-particle":"","family":"Lebeau","given":"Jean-Pierre","non-dropping-particle":"","parse-names":false,"suffix":""},{"dropping-particle":"","family":"Lettino","given":"Maddalena","non-dropping-particle":"","parse-names":false,"suffix":""},{"dropping-particle":"","family":"Lip","given":"Gregory Y H","non-dropping-particle":"","parse-names":false,"suffix":""},{"dropping-particle":"","family":"Pinto","given":"Fausto J","non-dropping-particle":"","parse-names":false,"suffix":""},{"dropping-particle":"","family":"Thomas","given":"G Neil","non-dropping-particle":"","parse-names":false,"suffix":""},{"dropping-particle":"","family":"Valgimigli","given":"Marco","non-dropping-particle":"","parse-names":false,"suffix":""},{"dropping-particle":"","family":"Gelder","given":"Isabelle C","non-dropping-particle":"Van","parse-names":false,"suffix":""},{"dropping-particle":"","family":"Putte","given":"Bart P","non-dropping-particle":"Van","parse-names":false,"suffix":""},{"dropping-particle":"","family":"Watkins","given":"Caroline L","non-dropping-particle":"","parse-names":false,"suffix":""}],"container-title":"European Heart Journal","id":"ITEM-1","issue":"5","issued":{"date-parts":[["2021","2","1"]]},"page":"373-498","title":"2020 ESC Guidelines for the diagnosis and management of atrial fibrillation developed in collaboration with the European Association for Cardio-Thoracic Surgery (EACTS): The Task Force for the diagnosis and management of atrial fibrillation of the Europea","type":"article-journal","volume":"42"},"uris":["http://www.mendeley.com/documents/?uuid=7ef68ad0-40aa-40e6-b1ff-a19f32f17219"]}],"mendeley":{"formattedCitation":"(4)","plainTextFormattedCitation":"(4)","previouslyFormattedCitation":"(4)"},"properties":{"noteIndex":0},"schema":"https://github.com/citation-style-language/schema/raw/master/csl-citation.json"}</w:instrText>
      </w:r>
      <w:r w:rsidR="002C112B" w:rsidRPr="00EF7BCA">
        <w:rPr>
          <w:color w:val="000000" w:themeColor="text1"/>
        </w:rPr>
        <w:fldChar w:fldCharType="separate"/>
      </w:r>
      <w:r w:rsidR="000F1B04" w:rsidRPr="000F1B04">
        <w:rPr>
          <w:noProof/>
          <w:color w:val="000000" w:themeColor="text1"/>
        </w:rPr>
        <w:t>(4)</w:t>
      </w:r>
      <w:r w:rsidR="002C112B" w:rsidRPr="00EF7BCA">
        <w:rPr>
          <w:color w:val="000000" w:themeColor="text1"/>
        </w:rPr>
        <w:fldChar w:fldCharType="end"/>
      </w:r>
      <w:r w:rsidR="009137C7" w:rsidRPr="00EF7BCA">
        <w:rPr>
          <w:color w:val="000000" w:themeColor="text1"/>
        </w:rPr>
        <w:t xml:space="preserve">. </w:t>
      </w:r>
      <w:r w:rsidR="00247229" w:rsidRPr="00EF7BCA">
        <w:rPr>
          <w:color w:val="000000" w:themeColor="text1"/>
        </w:rPr>
        <w:t xml:space="preserve">The </w:t>
      </w:r>
      <w:r w:rsidR="00B23822" w:rsidRPr="00EF7BCA">
        <w:rPr>
          <w:color w:val="000000" w:themeColor="text1"/>
        </w:rPr>
        <w:t>QRISK score predict</w:t>
      </w:r>
      <w:r w:rsidR="00E1033F" w:rsidRPr="00EF7BCA">
        <w:rPr>
          <w:color w:val="000000" w:themeColor="text1"/>
        </w:rPr>
        <w:t>s</w:t>
      </w:r>
      <w:r w:rsidR="00B23822" w:rsidRPr="00EF7BCA">
        <w:rPr>
          <w:color w:val="000000" w:themeColor="text1"/>
        </w:rPr>
        <w:t xml:space="preserve"> </w:t>
      </w:r>
      <w:r w:rsidR="00F02E76" w:rsidRPr="00EF7BCA">
        <w:rPr>
          <w:color w:val="000000" w:themeColor="text1"/>
        </w:rPr>
        <w:t xml:space="preserve">the </w:t>
      </w:r>
      <w:r w:rsidR="00B23822" w:rsidRPr="00EF7BCA">
        <w:rPr>
          <w:color w:val="000000" w:themeColor="text1"/>
        </w:rPr>
        <w:t>risk of cardiovascular disease and need for statin therapy</w:t>
      </w:r>
      <w:r w:rsidR="002C112B" w:rsidRPr="00EF7BCA">
        <w:rPr>
          <w:color w:val="000000" w:themeColor="text1"/>
        </w:rPr>
        <w:t xml:space="preserve"> </w:t>
      </w:r>
      <w:r w:rsidR="002C112B" w:rsidRPr="00EF7BCA">
        <w:rPr>
          <w:color w:val="000000" w:themeColor="text1"/>
        </w:rPr>
        <w:fldChar w:fldCharType="begin" w:fldLock="1"/>
      </w:r>
      <w:r w:rsidR="003D6AB7">
        <w:rPr>
          <w:color w:val="000000" w:themeColor="text1"/>
        </w:rPr>
        <w:instrText>ADDIN CSL_CITATION {"citationItems":[{"id":"ITEM-1","itemData":{"ISSN":"1756-1833","author":[{"dropping-particle":"","family":"Hippisley-Cox","given":"Julia","non-dropping-particle":"","parse-names":false,"suffix":""},{"dropping-particle":"","family":"Coupland","given":"Carol","non-dropping-particle":"","parse-names":false,"suffix":""},{"dropping-particle":"","family":"Brindle","given":"Peter","non-dropping-particle":"","parse-names":false,"suffix":""}],"container-title":"BMJ","id":"ITEM-1","issued":{"date-parts":[["2017"]]},"publisher":"British Medical Journal Publishing Group","title":"Development and validation of QRISK3 risk prediction algorithms to estimate future risk of cardiovascular disease: prospective cohort study","type":"article-journal","volume":"357"},"uris":["http://www.mendeley.com/documents/?uuid=2960e492-9469-4629-842a-6b7d4b1971a3"]}],"mendeley":{"formattedCitation":"(5)","plainTextFormattedCitation":"(5)","previouslyFormattedCitation":"(5)"},"properties":{"noteIndex":0},"schema":"https://github.com/citation-style-language/schema/raw/master/csl-citation.json"}</w:instrText>
      </w:r>
      <w:r w:rsidR="002C112B" w:rsidRPr="00EF7BCA">
        <w:rPr>
          <w:color w:val="000000" w:themeColor="text1"/>
        </w:rPr>
        <w:fldChar w:fldCharType="separate"/>
      </w:r>
      <w:r w:rsidR="000F1B04" w:rsidRPr="000F1B04">
        <w:rPr>
          <w:noProof/>
          <w:color w:val="000000" w:themeColor="text1"/>
        </w:rPr>
        <w:t>(5)</w:t>
      </w:r>
      <w:r w:rsidR="002C112B" w:rsidRPr="00EF7BCA">
        <w:rPr>
          <w:color w:val="000000" w:themeColor="text1"/>
        </w:rPr>
        <w:fldChar w:fldCharType="end"/>
      </w:r>
      <w:r w:rsidR="00B23822" w:rsidRPr="00EF7BCA">
        <w:rPr>
          <w:color w:val="000000" w:themeColor="text1"/>
        </w:rPr>
        <w:t xml:space="preserve">. MRH risk stratification in older adults </w:t>
      </w:r>
      <w:r w:rsidR="00A64CC6" w:rsidRPr="00EF7BCA">
        <w:rPr>
          <w:color w:val="000000" w:themeColor="text1"/>
        </w:rPr>
        <w:t>c</w:t>
      </w:r>
      <w:r w:rsidR="00A64CC6">
        <w:rPr>
          <w:color w:val="000000" w:themeColor="text1"/>
        </w:rPr>
        <w:t>ould</w:t>
      </w:r>
      <w:r w:rsidR="00B23822" w:rsidRPr="00EF7BCA">
        <w:rPr>
          <w:color w:val="000000" w:themeColor="text1"/>
        </w:rPr>
        <w:t xml:space="preserve"> help support clinicians and patients to make informed decisions about treatment</w:t>
      </w:r>
      <w:r w:rsidR="00F02E76" w:rsidRPr="00EF7BCA">
        <w:rPr>
          <w:color w:val="000000" w:themeColor="text1"/>
        </w:rPr>
        <w:t xml:space="preserve"> plans/decisions</w:t>
      </w:r>
      <w:r w:rsidR="00B23822" w:rsidRPr="00EF7BCA">
        <w:rPr>
          <w:color w:val="000000" w:themeColor="text1"/>
        </w:rPr>
        <w:t xml:space="preserve"> and</w:t>
      </w:r>
      <w:r w:rsidR="00F02E76" w:rsidRPr="00EF7BCA">
        <w:rPr>
          <w:color w:val="000000" w:themeColor="text1"/>
        </w:rPr>
        <w:t xml:space="preserve"> hence </w:t>
      </w:r>
      <w:r w:rsidR="00B23822" w:rsidRPr="00EF7BCA">
        <w:rPr>
          <w:color w:val="000000" w:themeColor="text1"/>
        </w:rPr>
        <w:t xml:space="preserve">deliver </w:t>
      </w:r>
      <w:r w:rsidR="00957B04">
        <w:rPr>
          <w:color w:val="000000" w:themeColor="text1"/>
        </w:rPr>
        <w:t>safer</w:t>
      </w:r>
      <w:r w:rsidR="00B23822" w:rsidRPr="00EF7BCA">
        <w:rPr>
          <w:color w:val="000000" w:themeColor="text1"/>
        </w:rPr>
        <w:t xml:space="preserve"> healthcare </w:t>
      </w:r>
      <w:r w:rsidR="00B45B49" w:rsidRPr="00EF7BCA">
        <w:rPr>
          <w:color w:val="000000" w:themeColor="text1"/>
        </w:rPr>
        <w:fldChar w:fldCharType="begin" w:fldLock="1"/>
      </w:r>
      <w:r w:rsidR="003D6AB7">
        <w:rPr>
          <w:color w:val="000000" w:themeColor="text1"/>
        </w:rPr>
        <w:instrText>ADDIN CSL_CITATION {"citationItems":[{"id":"ITEM-1","itemData":{"DOI":"10.2147/CIA.S65475","ISSN":"11781998","PMID":"25278750","abstract":"Adverse drug reaction (ADR) risk-prediction models for use in older adults have been developed, but it is not clear if they are suitable for use in clinical practice. This systematic review aimed to identify and investigate the quality of validated ADR risk-prediction models for use in older adults. Standard computerized databases, the gray literature, bibliographies, and citations were searched (2012) to identify relevant peer-reviewed studies. Studies that developed and validated an ADR prediction model for use in patients over 65 years old, using a multivariable approach in the design and analysis, were included. Data were extracted and their quality assessed by independent reviewers using a standard approach. Of the 13,423 titles identified, only 549 were associated with adverse outcomes of medicines use. Four met the inclusion criteria. All were conducted in inpatient cohorts in Western Europe. None of the models satisfied the four key stages in the creation of a quality risk prediction model; development and validation were completed, but impact and implementation were not assessed. Model performance was modest; area under the receiver operator curve ranged from 0.623 to 0.73. Study quality was difficult to assess due to poor reporting, but inappropriate methods were apparent. Further work needs to be conducted concerning the existing models to enable the development of a robust ADR risk-prediction model that is externally validated, with practical design and good performance. Only then can implementation and impact be assessed with the aim of generatinga model of high enough quality to be considered for use in clinical care to prioritize older people at high risk of suffering an ADR.","author":[{"dropping-particle":"","family":"Stevenson","given":"Jennifer M.","non-dropping-particle":"","parse-names":false,"suffix":""},{"dropping-particle":"","family":"Williams","given":"Josceline L.","non-dropping-particle":"","parse-names":false,"suffix":""},{"dropping-particle":"","family":"Burnham","given":"Thomas G.","non-dropping-particle":"","parse-names":false,"suffix":""},{"dropping-particle":"","family":"Prevost","given":"A. Toby","non-dropping-particle":"","parse-names":false,"suffix":""},{"dropping-particle":"","family":"Schiff","given":"Rebekah","non-dropping-particle":"","parse-names":false,"suffix":""},{"dropping-particle":"","family":"Erskine","given":"S. David","non-dropping-particle":"","parse-names":false,"suffix":""},{"dropping-particle":"","family":"Davies","given":"J. Graham","non-dropping-particle":"","parse-names":false,"suffix":""}],"container-title":"Clinical Interventions in Aging","id":"ITEM-1","issued":{"date-parts":[["2014","9","19"]]},"page":"1581-1593","publisher":"Dove Medical Press Ltd.","title":"Predicting adverse drug reactions in older adults; A systematic review of the risk prediction models","type":"article-journal","volume":"9"},"uris":["http://www.mendeley.com/documents/?uuid=6c01fffe-4bf8-3dbd-b463-ca826c82d069"]}],"mendeley":{"formattedCitation":"(6)","plainTextFormattedCitation":"(6)","previouslyFormattedCitation":"(6)"},"properties":{"noteIndex":0},"schema":"https://github.com/citation-style-language/schema/raw/master/csl-citation.json"}</w:instrText>
      </w:r>
      <w:r w:rsidR="00B45B49" w:rsidRPr="00EF7BCA">
        <w:rPr>
          <w:color w:val="000000" w:themeColor="text1"/>
        </w:rPr>
        <w:fldChar w:fldCharType="separate"/>
      </w:r>
      <w:r w:rsidR="000F1B04" w:rsidRPr="000F1B04">
        <w:rPr>
          <w:noProof/>
          <w:color w:val="000000" w:themeColor="text1"/>
        </w:rPr>
        <w:t>(6)</w:t>
      </w:r>
      <w:r w:rsidR="00B45B49" w:rsidRPr="00EF7BCA">
        <w:rPr>
          <w:color w:val="000000" w:themeColor="text1"/>
        </w:rPr>
        <w:fldChar w:fldCharType="end"/>
      </w:r>
      <w:r w:rsidR="00B45B49" w:rsidRPr="00EF7BCA">
        <w:rPr>
          <w:color w:val="000000" w:themeColor="text1"/>
        </w:rPr>
        <w:t>.</w:t>
      </w:r>
      <w:r w:rsidR="00A536A7">
        <w:rPr>
          <w:color w:val="000000"/>
        </w:rPr>
        <w:t xml:space="preserve"> </w:t>
      </w:r>
    </w:p>
    <w:p w14:paraId="48096CAD" w14:textId="2C9B102D" w:rsidR="00F77EE6" w:rsidRDefault="00F77EE6" w:rsidP="00350F1B">
      <w:pPr>
        <w:jc w:val="both"/>
        <w:rPr>
          <w:color w:val="000000" w:themeColor="text1"/>
        </w:rPr>
      </w:pPr>
    </w:p>
    <w:p w14:paraId="744085DC" w14:textId="45CB94B8" w:rsidR="00045181" w:rsidRPr="00FA3B86" w:rsidRDefault="00F77EE6" w:rsidP="00350F1B">
      <w:pPr>
        <w:jc w:val="both"/>
        <w:rPr>
          <w:color w:val="000000" w:themeColor="text1"/>
        </w:rPr>
      </w:pPr>
      <w:r w:rsidRPr="00EF7BCA">
        <w:rPr>
          <w:color w:val="000000" w:themeColor="text1"/>
        </w:rPr>
        <w:t>Our</w:t>
      </w:r>
      <w:r>
        <w:rPr>
          <w:color w:val="000000" w:themeColor="text1"/>
        </w:rPr>
        <w:t xml:space="preserve"> research</w:t>
      </w:r>
      <w:r w:rsidRPr="00EF7BCA">
        <w:rPr>
          <w:color w:val="000000" w:themeColor="text1"/>
        </w:rPr>
        <w:t xml:space="preserve"> team developed </w:t>
      </w:r>
      <w:r w:rsidR="003C3938">
        <w:rPr>
          <w:color w:val="000000" w:themeColor="text1"/>
        </w:rPr>
        <w:t>the PRIME</w:t>
      </w:r>
      <w:r w:rsidRPr="00EF7BCA">
        <w:rPr>
          <w:color w:val="000000" w:themeColor="text1"/>
        </w:rPr>
        <w:t xml:space="preserve"> risk prediction tool (</w:t>
      </w:r>
      <w:r w:rsidR="003C3938">
        <w:rPr>
          <w:color w:val="000000" w:themeColor="text1"/>
        </w:rPr>
        <w:t>PRIME-</w:t>
      </w:r>
      <w:r w:rsidRPr="00EF7BCA">
        <w:rPr>
          <w:color w:val="000000" w:themeColor="text1"/>
        </w:rPr>
        <w:t xml:space="preserve">RPT) to identify older patients </w:t>
      </w:r>
      <w:r>
        <w:rPr>
          <w:color w:val="000000" w:themeColor="text1"/>
        </w:rPr>
        <w:t>(</w:t>
      </w:r>
      <w:r w:rsidRPr="00EF7BCA">
        <w:rPr>
          <w:color w:val="000000" w:themeColor="text1"/>
        </w:rPr>
        <w:t>&gt;65 years</w:t>
      </w:r>
      <w:r>
        <w:rPr>
          <w:color w:val="000000" w:themeColor="text1"/>
        </w:rPr>
        <w:t>)</w:t>
      </w:r>
      <w:r w:rsidRPr="00EF7BCA">
        <w:rPr>
          <w:color w:val="000000" w:themeColor="text1"/>
        </w:rPr>
        <w:t xml:space="preserve"> at risk of MRH in the </w:t>
      </w:r>
      <w:r>
        <w:rPr>
          <w:color w:val="000000" w:themeColor="text1"/>
        </w:rPr>
        <w:t>eight</w:t>
      </w:r>
      <w:r w:rsidRPr="00EF7BCA">
        <w:rPr>
          <w:color w:val="000000" w:themeColor="text1"/>
        </w:rPr>
        <w:t xml:space="preserve">-weeks period after hospital. The PRIME </w:t>
      </w:r>
      <w:r w:rsidRPr="00EF7BCA">
        <w:t>study recruited</w:t>
      </w:r>
      <w:r w:rsidR="00CC519E">
        <w:t xml:space="preserve"> </w:t>
      </w:r>
      <w:r w:rsidRPr="00EF7BCA">
        <w:t xml:space="preserve">1280 patients from 5 hospitals in the UK. The </w:t>
      </w:r>
      <w:r w:rsidRPr="00EF7BCA">
        <w:rPr>
          <w:color w:val="000000" w:themeColor="text1"/>
        </w:rPr>
        <w:t xml:space="preserve">RPT consists </w:t>
      </w:r>
      <w:r w:rsidRPr="00EF7BCA">
        <w:t xml:space="preserve">of </w:t>
      </w:r>
      <w:r w:rsidRPr="00EF7BCA">
        <w:rPr>
          <w:color w:val="000000" w:themeColor="text1"/>
        </w:rPr>
        <w:t xml:space="preserve">eight routinely collected variables: age, </w:t>
      </w:r>
      <w:r>
        <w:rPr>
          <w:color w:val="000000" w:themeColor="text1"/>
        </w:rPr>
        <w:t>sex</w:t>
      </w:r>
      <w:r w:rsidRPr="00EF7BCA">
        <w:rPr>
          <w:color w:val="000000" w:themeColor="text1"/>
        </w:rPr>
        <w:t xml:space="preserve">, antiplatelet drug, sodium level, antidiabetic drug, past adverse drug reaction, number of medicines, living alone </w:t>
      </w:r>
      <w:r w:rsidRPr="00EF7BCA">
        <w:rPr>
          <w:color w:val="000000" w:themeColor="text1"/>
        </w:rPr>
        <w:fldChar w:fldCharType="begin" w:fldLock="1"/>
      </w:r>
      <w:r w:rsidR="003D6AB7">
        <w:rPr>
          <w:color w:val="000000" w:themeColor="text1"/>
        </w:rPr>
        <w:instrText>ADDIN CSL_CITATION {"citationItems":[{"id":"ITEM-1","itemData":{"DOI":"10.1136/bmjqs-2019-009587","ISSN":"20445415","PMID":"31527053","abstract":"Objectives To develop and validate a tool to predict the risk of an older adult experiencing medication-related harm (MRH) requiring healthcare use following hospital discharge. Design, setting, participants Multicentre, prospective cohort study recruiting older adults (≥65 years) discharged from five UK teaching hospitals between 2013 and 2015. Primary outcome measure Participants were followed up for 8 weeks in the community by senior pharmacists to identify MRH (adverse drug reactions, harm from non-adherence, harm from medication error). Three data sources provided MRH and healthcare use information: Hospital readmissions, primary care use, participant telephone interview. Candidate variables for prognostic modelling were selected using two systematic reviews, the views of patients with MRH and an expert panel of clinicians. Multivariable logistic regression with backward elimination, based on the Akaike Information Criterion, was used to develop the PRIME tool. The tool was internally validated. Results 1116 out of 1280 recruited participants completed follow-up (87%). Uncertain MRH cases (â 'possible' and 'aprobable') were excluded, leaving a tool derivation cohort of 818. 119 (15%) participants experienced 'definite' MRH requiring healthcare use and 699 participants did not. Modelling resulted in a prediction tool with eight variables measured at hospital discharge: Age, gender, antiplatelet drug, sodium level, antidiabetic drug, past adverse drug reaction, number of medicines, living alone. The tool's discrimination C-statistic was 0.69 (0.66 after validation) and showed good calibration. Decision curve analysis demonstrated the potential value of the tool to guide clinical decision making compared with alternative approaches. Conclusions The PRIME tool could be used to identify older patients at high risk of MRH requiring healthcare use following hospital discharge. Prior to clinical use we recommend the tool's evaluation in other settings.","author":[{"dropping-particle":"","family":"Parekh","given":"Nikesh","non-dropping-particle":"","parse-names":false,"suffix":""},{"dropping-particle":"","family":"Ali","given":"Khalid","non-dropping-particle":"","parse-names":false,"suffix":""},{"dropping-particle":"","family":"Davies","given":"John Graham","non-dropping-particle":"","parse-names":false,"suffix":""},{"dropping-particle":"","family":"Stevenson","given":"Jennifer M.","non-dropping-particle":"","parse-names":false,"suffix":""},{"dropping-particle":"","family":"Banya","given":"Winston","non-dropping-particle":"","parse-names":false,"suffix":""},{"dropping-particle":"","family":"Nyangoma","given":"Stephen","non-dropping-particle":"","parse-names":false,"suffix":""},{"dropping-particle":"","family":"Schiff","given":"Rebekah","non-dropping-particle":"","parse-names":false,"suffix":""},{"dropping-particle":"","family":"Cammen","given":"Tischa","non-dropping-particle":"Van Der","parse-names":false,"suffix":""},{"dropping-particle":"","family":"Harchowal","given":"Jatinder","non-dropping-particle":"","parse-names":false,"suffix":""},{"dropping-particle":"","family":"Rajkumar","given":"Chakravarthi","non-dropping-particle":"","parse-names":false,"suffix":""}],"container-title":"BMJ Quality and Safety","id":"ITEM-1","issue":"2","issued":{"date-parts":[["2020","2","1"]]},"page":"142-153","publisher":"BMJ Publishing Group","title":"Medication-related harm in older adults following hospital discharge: Development and validation of a prediction tool","type":"article-journal","volume":"29"},"uris":["http://www.mendeley.com/documents/?uuid=2db1f004-c319-36c0-b6e7-84a9de887ec6"]}],"mendeley":{"formattedCitation":"(7)","plainTextFormattedCitation":"(7)","previouslyFormattedCitation":"(7)"},"properties":{"noteIndex":0},"schema":"https://github.com/citation-style-language/schema/raw/master/csl-citation.json"}</w:instrText>
      </w:r>
      <w:r w:rsidRPr="00EF7BCA">
        <w:rPr>
          <w:color w:val="000000" w:themeColor="text1"/>
        </w:rPr>
        <w:fldChar w:fldCharType="separate"/>
      </w:r>
      <w:r w:rsidR="000F1B04" w:rsidRPr="000F1B04">
        <w:rPr>
          <w:noProof/>
          <w:color w:val="000000" w:themeColor="text1"/>
        </w:rPr>
        <w:t>(7)</w:t>
      </w:r>
      <w:r w:rsidRPr="00EF7BCA">
        <w:rPr>
          <w:color w:val="000000" w:themeColor="text1"/>
        </w:rPr>
        <w:fldChar w:fldCharType="end"/>
      </w:r>
      <w:r w:rsidRPr="00EF7BCA">
        <w:rPr>
          <w:color w:val="000000" w:themeColor="text1"/>
        </w:rPr>
        <w:t xml:space="preserve">. The risk-prediction model equation and an illustrative case example are shown in figure 1. The novelty of the PRIME-RPT is that it provides an individualised numerical score of the possibility of </w:t>
      </w:r>
      <w:r w:rsidR="007C44B5">
        <w:rPr>
          <w:color w:val="000000" w:themeColor="text1"/>
        </w:rPr>
        <w:t>experiencing</w:t>
      </w:r>
      <w:r w:rsidRPr="00EF7BCA">
        <w:rPr>
          <w:color w:val="000000" w:themeColor="text1"/>
        </w:rPr>
        <w:t xml:space="preserve"> MRH within eight</w:t>
      </w:r>
      <w:r>
        <w:rPr>
          <w:color w:val="000000" w:themeColor="text1"/>
        </w:rPr>
        <w:t>-</w:t>
      </w:r>
      <w:r w:rsidRPr="00EF7BCA">
        <w:rPr>
          <w:color w:val="000000" w:themeColor="text1"/>
        </w:rPr>
        <w:t xml:space="preserve">weeks of hospital discharge </w:t>
      </w:r>
      <w:r w:rsidRPr="00EF7BCA">
        <w:rPr>
          <w:color w:val="000000" w:themeColor="text1"/>
        </w:rPr>
        <w:fldChar w:fldCharType="begin" w:fldLock="1"/>
      </w:r>
      <w:r w:rsidR="003D6AB7">
        <w:rPr>
          <w:color w:val="000000" w:themeColor="text1"/>
        </w:rPr>
        <w:instrText>ADDIN CSL_CITATION {"citationItems":[{"id":"ITEM-1","itemData":{"DOI":"10.1136/bmjqs-2019-009587","ISSN":"20445415","PMID":"31527053","abstract":"Objectives To develop and validate a tool to predict the risk of an older adult experiencing medication-related harm (MRH) requiring healthcare use following hospital discharge. Design, setting, participants Multicentre, prospective cohort study recruiting older adults (≥65 years) discharged from five UK teaching hospitals between 2013 and 2015. Primary outcome measure Participants were followed up for 8 weeks in the community by senior pharmacists to identify MRH (adverse drug reactions, harm from non-adherence, harm from medication error). Three data sources provided MRH and healthcare use information: Hospital readmissions, primary care use, participant telephone interview. Candidate variables for prognostic modelling were selected using two systematic reviews, the views of patients with MRH and an expert panel of clinicians. Multivariable logistic regression with backward elimination, based on the Akaike Information Criterion, was used to develop the PRIME tool. The tool was internally validated. Results 1116 out of 1280 recruited participants completed follow-up (87%). Uncertain MRH cases (â 'possible' and 'aprobable') were excluded, leaving a tool derivation cohort of 818. 119 (15%) participants experienced 'definite' MRH requiring healthcare use and 699 participants did not. Modelling resulted in a prediction tool with eight variables measured at hospital discharge: Age, gender, antiplatelet drug, sodium level, antidiabetic drug, past adverse drug reaction, number of medicines, living alone. The tool's discrimination C-statistic was 0.69 (0.66 after validation) and showed good calibration. Decision curve analysis demonstrated the potential value of the tool to guide clinical decision making compared with alternative approaches. Conclusions The PRIME tool could be used to identify older patients at high risk of MRH requiring healthcare use following hospital discharge. Prior to clinical use we recommend the tool's evaluation in other settings.","author":[{"dropping-particle":"","family":"Parekh","given":"Nikesh","non-dropping-particle":"","parse-names":false,"suffix":""},{"dropping-particle":"","family":"Ali","given":"Khalid","non-dropping-particle":"","parse-names":false,"suffix":""},{"dropping-particle":"","family":"Davies","given":"John Graham","non-dropping-particle":"","parse-names":false,"suffix":""},{"dropping-particle":"","family":"Stevenson","given":"Jennifer M.","non-dropping-particle":"","parse-names":false,"suffix":""},{"dropping-particle":"","family":"Banya","given":"Winston","non-dropping-particle":"","parse-names":false,"suffix":""},{"dropping-particle":"","family":"Nyangoma","given":"Stephen","non-dropping-particle":"","parse-names":false,"suffix":""},{"dropping-particle":"","family":"Schiff","given":"Rebekah","non-dropping-particle":"","parse-names":false,"suffix":""},{"dropping-particle":"","family":"Cammen","given":"Tischa","non-dropping-particle":"Van Der","parse-names":false,"suffix":""},{"dropping-particle":"","family":"Harchowal","given":"Jatinder","non-dropping-particle":"","parse-names":false,"suffix":""},{"dropping-particle":"","family":"Rajkumar","given":"Chakravarthi","non-dropping-particle":"","parse-names":false,"suffix":""}],"container-title":"BMJ Quality and Safety","id":"ITEM-1","issue":"2","issued":{"date-parts":[["2020","2","1"]]},"page":"142-153","publisher":"BMJ Publishing Group","title":"Medication-related harm in older adults following hospital discharge: Development and validation of a prediction tool","type":"article-journal","volume":"29"},"uris":["http://www.mendeley.com/documents/?uuid=2db1f004-c319-36c0-b6e7-84a9de887ec6"]}],"mendeley":{"formattedCitation":"(7)","plainTextFormattedCitation":"(7)","previouslyFormattedCitation":"(7)"},"properties":{"noteIndex":0},"schema":"https://github.com/citation-style-language/schema/raw/master/csl-citation.json"}</w:instrText>
      </w:r>
      <w:r w:rsidRPr="00EF7BCA">
        <w:rPr>
          <w:color w:val="000000" w:themeColor="text1"/>
        </w:rPr>
        <w:fldChar w:fldCharType="separate"/>
      </w:r>
      <w:r w:rsidR="000F1B04" w:rsidRPr="000F1B04">
        <w:rPr>
          <w:noProof/>
          <w:color w:val="000000" w:themeColor="text1"/>
        </w:rPr>
        <w:t>(7)</w:t>
      </w:r>
      <w:r w:rsidRPr="00EF7BCA">
        <w:rPr>
          <w:color w:val="000000" w:themeColor="text1"/>
        </w:rPr>
        <w:fldChar w:fldCharType="end"/>
      </w:r>
      <w:r w:rsidRPr="00EF7BCA">
        <w:rPr>
          <w:color w:val="000000" w:themeColor="text1"/>
        </w:rPr>
        <w:t xml:space="preserve">. </w:t>
      </w:r>
      <w:r w:rsidR="007C44B5">
        <w:rPr>
          <w:color w:val="000000" w:themeColor="text1"/>
        </w:rPr>
        <w:t xml:space="preserve"> Furthermore, </w:t>
      </w:r>
      <w:r w:rsidR="00F1143D">
        <w:rPr>
          <w:color w:val="000000" w:themeColor="text1"/>
        </w:rPr>
        <w:t>it</w:t>
      </w:r>
      <w:r w:rsidR="00957B04" w:rsidRPr="002D08A8">
        <w:rPr>
          <w:color w:val="000000" w:themeColor="text1"/>
        </w:rPr>
        <w:t xml:space="preserve"> demonstrated </w:t>
      </w:r>
      <w:r w:rsidR="00F1143D">
        <w:rPr>
          <w:color w:val="000000" w:themeColor="text1"/>
        </w:rPr>
        <w:t xml:space="preserve">superior accuracy compared to the routine </w:t>
      </w:r>
      <w:r w:rsidR="00045181" w:rsidRPr="002D08A8">
        <w:rPr>
          <w:color w:val="000000" w:themeColor="text1"/>
        </w:rPr>
        <w:t xml:space="preserve">clinical judgement </w:t>
      </w:r>
      <w:r w:rsidR="00957B04" w:rsidRPr="002D08A8">
        <w:rPr>
          <w:color w:val="000000" w:themeColor="text1"/>
        </w:rPr>
        <w:t>of doctors</w:t>
      </w:r>
      <w:r w:rsidR="00045181" w:rsidRPr="002D08A8">
        <w:rPr>
          <w:color w:val="000000" w:themeColor="text1"/>
        </w:rPr>
        <w:t xml:space="preserve"> </w:t>
      </w:r>
      <w:r w:rsidR="00D37F9F" w:rsidRPr="002D08A8">
        <w:rPr>
          <w:color w:val="000000" w:themeColor="text1"/>
        </w:rPr>
        <w:fldChar w:fldCharType="begin" w:fldLock="1"/>
      </w:r>
      <w:r w:rsidR="003D6AB7">
        <w:rPr>
          <w:color w:val="000000" w:themeColor="text1"/>
        </w:rPr>
        <w:instrText>ADDIN CSL_CITATION {"citationItems":[{"id":"ITEM-1","itemData":{"ISSN":"0306-5251","author":[{"dropping-particle":"","family":"Parekh","given":"Nikesh","non-dropping-particle":"","parse-names":false,"suffix":""},{"dropping-particle":"","family":"Stevenson","given":"Jennifer M","non-dropping-particle":"","parse-names":false,"suffix":""},{"dropping-particle":"","family":"Schiff","given":"Rebekah","non-dropping-particle":"","parse-names":false,"suffix":""},{"dropping-particle":"","family":"Graham Davies","given":"J","non-dropping-particle":"","parse-names":false,"suffix":""},{"dropping-particle":"","family":"Bremner","given":"Stephen","non-dropping-particle":"","parse-names":false,"suffix":""},{"dropping-particle":"","family":"Cammen","given":"Tischa","non-dropping-particle":"Van der","parse-names":false,"suffix":""},{"dropping-particle":"","family":"Harchowal","given":"Jatinder","non-dropping-particle":"","parse-names":false,"suffix":""},{"dropping-particle":"","family":"Rajkumar","given":"Chakravarthi","non-dropping-particle":"","parse-names":false,"suffix":""},{"dropping-particle":"","family":"Ali","given":"Khalid","non-dropping-particle":"","parse-names":false,"suffix":""},{"dropping-particle":"","family":"group","given":"PRIME study","non-dropping-particle":"","parse-names":false,"suffix":""}],"container-title":"British journal of clinical pharmacology","id":"ITEM-1","issue":"10","issued":{"date-parts":[["2018"]]},"page":"2344-2351","publisher":"Wiley Online Library","title":"Can doctors identify older patients at risk of medication harm following hospital discharge? A multicentre prospective study in the UK","type":"article-journal","volume":"84"},"uris":["http://www.mendeley.com/documents/?uuid=e1589317-de9c-44df-89f4-b55de8d595a5"]}],"mendeley":{"formattedCitation":"(8)","plainTextFormattedCitation":"(8)","previouslyFormattedCitation":"(8)"},"properties":{"noteIndex":0},"schema":"https://github.com/citation-style-language/schema/raw/master/csl-citation.json"}</w:instrText>
      </w:r>
      <w:r w:rsidR="00D37F9F" w:rsidRPr="002D08A8">
        <w:rPr>
          <w:color w:val="000000" w:themeColor="text1"/>
        </w:rPr>
        <w:fldChar w:fldCharType="separate"/>
      </w:r>
      <w:r w:rsidR="000F1B04" w:rsidRPr="000F1B04">
        <w:rPr>
          <w:noProof/>
          <w:color w:val="000000" w:themeColor="text1"/>
        </w:rPr>
        <w:t>(8)</w:t>
      </w:r>
      <w:r w:rsidR="00D37F9F" w:rsidRPr="002D08A8">
        <w:rPr>
          <w:color w:val="000000" w:themeColor="text1"/>
        </w:rPr>
        <w:fldChar w:fldCharType="end"/>
      </w:r>
      <w:r w:rsidR="00045181" w:rsidRPr="002D08A8">
        <w:rPr>
          <w:color w:val="000000" w:themeColor="text1"/>
        </w:rPr>
        <w:t>.</w:t>
      </w:r>
      <w:r w:rsidR="00E74C41" w:rsidRPr="002D08A8">
        <w:rPr>
          <w:color w:val="000000" w:themeColor="text1"/>
        </w:rPr>
        <w:t xml:space="preserve"> </w:t>
      </w:r>
    </w:p>
    <w:p w14:paraId="25D6DA63" w14:textId="77777777" w:rsidR="00026BB5" w:rsidRPr="00EF7BCA" w:rsidRDefault="00026BB5" w:rsidP="00B34605">
      <w:pPr>
        <w:jc w:val="both"/>
        <w:rPr>
          <w:color w:val="FF0000"/>
        </w:rPr>
      </w:pPr>
    </w:p>
    <w:p w14:paraId="602CD00B" w14:textId="1B35A72A" w:rsidR="00CD4B69" w:rsidRPr="00EF7BCA" w:rsidRDefault="00CD4B69" w:rsidP="00B34605">
      <w:pPr>
        <w:jc w:val="both"/>
        <w:rPr>
          <w:color w:val="000000" w:themeColor="text1"/>
        </w:rPr>
      </w:pPr>
    </w:p>
    <w:p w14:paraId="032BB587" w14:textId="3C4100C4" w:rsidR="00D407EB" w:rsidRPr="00F10ECA" w:rsidRDefault="008C287A" w:rsidP="00B34605">
      <w:pPr>
        <w:jc w:val="both"/>
        <w:rPr>
          <w:color w:val="000000" w:themeColor="text1"/>
        </w:rPr>
      </w:pPr>
      <w:r w:rsidRPr="002D08A8">
        <w:rPr>
          <w:color w:val="000000" w:themeColor="text1"/>
        </w:rPr>
        <w:t xml:space="preserve">Before implementing the PRIME-RPT into clinical practice, </w:t>
      </w:r>
      <w:r w:rsidR="007F32B8">
        <w:rPr>
          <w:color w:val="000000" w:themeColor="text1"/>
        </w:rPr>
        <w:t>engaging s</w:t>
      </w:r>
      <w:r w:rsidR="002157CE" w:rsidRPr="002D08A8">
        <w:rPr>
          <w:color w:val="000000" w:themeColor="text1"/>
        </w:rPr>
        <w:t>takeholders</w:t>
      </w:r>
      <w:r w:rsidR="00050280" w:rsidRPr="002D08A8">
        <w:rPr>
          <w:color w:val="000000" w:themeColor="text1"/>
        </w:rPr>
        <w:t xml:space="preserve"> </w:t>
      </w:r>
      <w:r w:rsidR="00B617A5">
        <w:rPr>
          <w:color w:val="000000" w:themeColor="text1"/>
        </w:rPr>
        <w:t xml:space="preserve">is </w:t>
      </w:r>
      <w:r w:rsidR="007F32B8">
        <w:rPr>
          <w:color w:val="000000" w:themeColor="text1"/>
        </w:rPr>
        <w:t>an essential</w:t>
      </w:r>
      <w:r w:rsidR="005041D6" w:rsidRPr="002D08A8">
        <w:rPr>
          <w:color w:val="000000" w:themeColor="text1"/>
        </w:rPr>
        <w:t xml:space="preserve"> pre-requisite </w:t>
      </w:r>
      <w:r w:rsidR="00B617A5">
        <w:rPr>
          <w:color w:val="000000" w:themeColor="text1"/>
        </w:rPr>
        <w:t xml:space="preserve">for the </w:t>
      </w:r>
      <w:r w:rsidR="002157CE" w:rsidRPr="002D08A8">
        <w:rPr>
          <w:color w:val="000000" w:themeColor="text1"/>
        </w:rPr>
        <w:t xml:space="preserve">successful </w:t>
      </w:r>
      <w:r w:rsidR="005041D6" w:rsidRPr="002D08A8">
        <w:rPr>
          <w:color w:val="000000" w:themeColor="text1"/>
        </w:rPr>
        <w:t>translati</w:t>
      </w:r>
      <w:r w:rsidR="002157CE" w:rsidRPr="002D08A8">
        <w:rPr>
          <w:color w:val="000000" w:themeColor="text1"/>
        </w:rPr>
        <w:t>on of</w:t>
      </w:r>
      <w:r w:rsidR="005041D6" w:rsidRPr="002D08A8">
        <w:rPr>
          <w:color w:val="000000" w:themeColor="text1"/>
        </w:rPr>
        <w:t xml:space="preserve"> research findings into </w:t>
      </w:r>
      <w:r w:rsidR="002157CE" w:rsidRPr="002D08A8">
        <w:rPr>
          <w:color w:val="000000" w:themeColor="text1"/>
        </w:rPr>
        <w:t xml:space="preserve">clinically </w:t>
      </w:r>
      <w:r w:rsidR="005041D6" w:rsidRPr="002D08A8">
        <w:rPr>
          <w:color w:val="000000" w:themeColor="text1"/>
        </w:rPr>
        <w:t xml:space="preserve">meaningful </w:t>
      </w:r>
      <w:r w:rsidR="002157CE" w:rsidRPr="002D08A8">
        <w:rPr>
          <w:color w:val="000000" w:themeColor="text1"/>
        </w:rPr>
        <w:t>impact</w:t>
      </w:r>
      <w:r w:rsidR="00DB01EB" w:rsidRPr="002D08A8">
        <w:rPr>
          <w:color w:val="000000" w:themeColor="text1"/>
        </w:rPr>
        <w:t xml:space="preserve"> </w:t>
      </w:r>
      <w:r w:rsidR="00DB01EB" w:rsidRPr="002D08A8">
        <w:rPr>
          <w:color w:val="000000" w:themeColor="text1"/>
        </w:rPr>
        <w:fldChar w:fldCharType="begin" w:fldLock="1"/>
      </w:r>
      <w:r w:rsidR="003D6AB7">
        <w:rPr>
          <w:color w:val="000000" w:themeColor="text1"/>
        </w:rPr>
        <w:instrText>ADDIN CSL_CITATION {"citationItems":[{"id":"ITEM-1","itemData":{"DOI":"10.1186/s12961-016-0107-2","ISSN":"1478-4505","abstract":"While health research is considered essential for improving health worldwide, it remains unclear how it is best organized to contribute to health. This study examined research that was part of a Ghanaian-Dutch research program that aimed to increase the likelihood that results would be used by funding research that focused on national research priorities and was led by local researchers. The aim of this study was to map the contribution of this research to action and examine which features of research and translation processes were associated with the use of the results.","author":[{"dropping-particle":"","family":"Kok","given":"Maarten Olivier","non-dropping-particle":"","parse-names":false,"suffix":""},{"dropping-particle":"","family":"Gyapong","given":"John Owusu","non-dropping-particle":"","parse-names":false,"suffix":""},{"dropping-particle":"","family":"Wolffers","given":"Ivan","non-dropping-particle":"","parse-names":false,"suffix":""},{"dropping-particle":"","family":"Ofori-Adjei","given":"David","non-dropping-particle":"","parse-names":false,"suffix":""},{"dropping-particle":"","family":"Ruitenberg","given":"Joost","non-dropping-particle":"","parse-names":false,"suffix":""}],"container-title":"Health Research Policy and Systems","id":"ITEM-1","issue":"1","issued":{"date-parts":[["2016"]]},"page":"36","title":"Which health research gets used and why? An empirical analysis of 30 cases","type":"article-journal","volume":"14"},"uris":["http://www.mendeley.com/documents/?uuid=46e5333e-6284-460b-b36d-7ee882d03a6e"]}],"mendeley":{"formattedCitation":"(9)","plainTextFormattedCitation":"(9)","previouslyFormattedCitation":"(9)"},"properties":{"noteIndex":0},"schema":"https://github.com/citation-style-language/schema/raw/master/csl-citation.json"}</w:instrText>
      </w:r>
      <w:r w:rsidR="00DB01EB" w:rsidRPr="002D08A8">
        <w:rPr>
          <w:color w:val="000000" w:themeColor="text1"/>
        </w:rPr>
        <w:fldChar w:fldCharType="separate"/>
      </w:r>
      <w:r w:rsidR="000F1B04" w:rsidRPr="000F1B04">
        <w:rPr>
          <w:noProof/>
          <w:color w:val="000000" w:themeColor="text1"/>
        </w:rPr>
        <w:t>(9)</w:t>
      </w:r>
      <w:r w:rsidR="00DB01EB" w:rsidRPr="002D08A8">
        <w:rPr>
          <w:color w:val="000000" w:themeColor="text1"/>
        </w:rPr>
        <w:fldChar w:fldCharType="end"/>
      </w:r>
      <w:r w:rsidR="002157CE" w:rsidRPr="002D08A8">
        <w:rPr>
          <w:color w:val="000000" w:themeColor="text1"/>
        </w:rPr>
        <w:t xml:space="preserve">. </w:t>
      </w:r>
      <w:r w:rsidR="007F32B8">
        <w:rPr>
          <w:color w:val="000000" w:themeColor="text1"/>
        </w:rPr>
        <w:t xml:space="preserve"> The </w:t>
      </w:r>
      <w:r w:rsidR="00EA14A7" w:rsidRPr="002D08A8">
        <w:rPr>
          <w:color w:val="000000" w:themeColor="text1"/>
        </w:rPr>
        <w:t>practicality</w:t>
      </w:r>
      <w:r w:rsidR="00B617A5">
        <w:rPr>
          <w:color w:val="000000" w:themeColor="text1"/>
        </w:rPr>
        <w:t xml:space="preserve"> of the RPT</w:t>
      </w:r>
      <w:r w:rsidR="00EA14A7" w:rsidRPr="002D08A8">
        <w:rPr>
          <w:color w:val="000000" w:themeColor="text1"/>
        </w:rPr>
        <w:t xml:space="preserve"> needs to be considered within a clinical setting</w:t>
      </w:r>
      <w:r w:rsidR="007928C9" w:rsidRPr="002D08A8">
        <w:rPr>
          <w:color w:val="000000" w:themeColor="text1"/>
        </w:rPr>
        <w:t xml:space="preserve"> through </w:t>
      </w:r>
      <w:r w:rsidR="00EA14A7" w:rsidRPr="002D08A8">
        <w:rPr>
          <w:color w:val="000000" w:themeColor="text1"/>
        </w:rPr>
        <w:t>seek</w:t>
      </w:r>
      <w:r w:rsidR="007928C9" w:rsidRPr="002D08A8">
        <w:rPr>
          <w:color w:val="000000" w:themeColor="text1"/>
        </w:rPr>
        <w:t>ing</w:t>
      </w:r>
      <w:r w:rsidR="00EA14A7" w:rsidRPr="002D08A8">
        <w:rPr>
          <w:color w:val="000000" w:themeColor="text1"/>
        </w:rPr>
        <w:t xml:space="preserve"> the opinion of </w:t>
      </w:r>
      <w:r w:rsidR="00F4441F" w:rsidRPr="002D08A8">
        <w:rPr>
          <w:color w:val="000000" w:themeColor="text1"/>
        </w:rPr>
        <w:t xml:space="preserve">the </w:t>
      </w:r>
      <w:r w:rsidR="00EA14A7" w:rsidRPr="002D08A8">
        <w:rPr>
          <w:color w:val="000000" w:themeColor="text1"/>
        </w:rPr>
        <w:t xml:space="preserve">relevant healthcare professionals who will </w:t>
      </w:r>
      <w:r w:rsidR="00EA14A7" w:rsidRPr="00F10ECA">
        <w:rPr>
          <w:color w:val="000000" w:themeColor="text1"/>
        </w:rPr>
        <w:t xml:space="preserve">be </w:t>
      </w:r>
      <w:r w:rsidR="00652186">
        <w:rPr>
          <w:color w:val="000000" w:themeColor="text1"/>
        </w:rPr>
        <w:t>applying</w:t>
      </w:r>
      <w:r w:rsidR="00CB30ED">
        <w:rPr>
          <w:color w:val="000000" w:themeColor="text1"/>
        </w:rPr>
        <w:t xml:space="preserve"> </w:t>
      </w:r>
      <w:r w:rsidR="00EA14A7" w:rsidRPr="00F10ECA">
        <w:rPr>
          <w:color w:val="000000" w:themeColor="text1"/>
        </w:rPr>
        <w:t xml:space="preserve">it, </w:t>
      </w:r>
      <w:r w:rsidR="007928C9" w:rsidRPr="00F10ECA">
        <w:rPr>
          <w:color w:val="000000" w:themeColor="text1"/>
        </w:rPr>
        <w:t>primarily</w:t>
      </w:r>
      <w:r w:rsidR="00EA14A7" w:rsidRPr="00F10ECA">
        <w:rPr>
          <w:color w:val="000000" w:themeColor="text1"/>
        </w:rPr>
        <w:t xml:space="preserve"> hospital pharmacists. </w:t>
      </w:r>
      <w:r w:rsidR="00F8113F">
        <w:rPr>
          <w:color w:val="000000" w:themeColor="text1"/>
        </w:rPr>
        <w:t>This</w:t>
      </w:r>
      <w:r w:rsidR="00EA14A7" w:rsidRPr="00F10ECA">
        <w:rPr>
          <w:color w:val="000000" w:themeColor="text1"/>
        </w:rPr>
        <w:t xml:space="preserve"> qualitative study </w:t>
      </w:r>
      <w:r w:rsidR="00F4441F" w:rsidRPr="00F10ECA">
        <w:rPr>
          <w:color w:val="000000" w:themeColor="text1"/>
        </w:rPr>
        <w:t>explore</w:t>
      </w:r>
      <w:r w:rsidR="00FA0973">
        <w:rPr>
          <w:color w:val="000000" w:themeColor="text1"/>
        </w:rPr>
        <w:t>s</w:t>
      </w:r>
      <w:r w:rsidR="00EA14A7" w:rsidRPr="00F10ECA">
        <w:rPr>
          <w:color w:val="000000" w:themeColor="text1"/>
        </w:rPr>
        <w:t xml:space="preserve"> hospital pharmacists’ </w:t>
      </w:r>
      <w:r w:rsidR="004855F0" w:rsidRPr="00F10ECA">
        <w:rPr>
          <w:color w:val="000000" w:themeColor="text1"/>
        </w:rPr>
        <w:t>opinions about</w:t>
      </w:r>
      <w:r w:rsidR="00EA14A7" w:rsidRPr="00F10ECA">
        <w:rPr>
          <w:color w:val="000000" w:themeColor="text1"/>
        </w:rPr>
        <w:t xml:space="preserve"> the PRIME-RPT. Specifically, we aimed to understand the enablers and barrier</w:t>
      </w:r>
      <w:r w:rsidR="00FA0973">
        <w:rPr>
          <w:color w:val="000000" w:themeColor="text1"/>
        </w:rPr>
        <w:t>s</w:t>
      </w:r>
      <w:r w:rsidR="00EA14A7" w:rsidRPr="00F10ECA">
        <w:rPr>
          <w:color w:val="000000" w:themeColor="text1"/>
        </w:rPr>
        <w:t xml:space="preserve"> of implementing the </w:t>
      </w:r>
      <w:r w:rsidR="0010599F" w:rsidRPr="00F10ECA">
        <w:rPr>
          <w:color w:val="000000" w:themeColor="text1"/>
        </w:rPr>
        <w:t>PRIME-RPT</w:t>
      </w:r>
      <w:r w:rsidR="007928C9" w:rsidRPr="00F10ECA">
        <w:rPr>
          <w:color w:val="000000" w:themeColor="text1"/>
        </w:rPr>
        <w:t xml:space="preserve"> </w:t>
      </w:r>
      <w:r w:rsidR="00F4441F" w:rsidRPr="00F10ECA">
        <w:rPr>
          <w:color w:val="000000" w:themeColor="text1"/>
        </w:rPr>
        <w:t>at the point of</w:t>
      </w:r>
      <w:r w:rsidR="007928C9" w:rsidRPr="00F10ECA">
        <w:rPr>
          <w:color w:val="000000" w:themeColor="text1"/>
        </w:rPr>
        <w:t xml:space="preserve"> hospital discharge</w:t>
      </w:r>
      <w:r w:rsidR="00EA14A7" w:rsidRPr="00F10ECA">
        <w:rPr>
          <w:color w:val="000000" w:themeColor="text1"/>
        </w:rPr>
        <w:t>.</w:t>
      </w:r>
    </w:p>
    <w:p w14:paraId="5B405478" w14:textId="77777777" w:rsidR="006F62B0" w:rsidRPr="00EF7BCA" w:rsidRDefault="006F62B0" w:rsidP="00B34605">
      <w:pPr>
        <w:jc w:val="both"/>
        <w:rPr>
          <w:b/>
          <w:bCs/>
          <w:sz w:val="28"/>
          <w:szCs w:val="28"/>
        </w:rPr>
      </w:pPr>
    </w:p>
    <w:p w14:paraId="454D634A" w14:textId="234EB919" w:rsidR="00407E54" w:rsidRDefault="00074EF6" w:rsidP="00B34605">
      <w:pPr>
        <w:jc w:val="both"/>
        <w:rPr>
          <w:b/>
          <w:bCs/>
          <w:sz w:val="28"/>
          <w:szCs w:val="28"/>
        </w:rPr>
      </w:pPr>
      <w:r w:rsidRPr="00EF7BCA">
        <w:rPr>
          <w:b/>
          <w:bCs/>
          <w:sz w:val="28"/>
          <w:szCs w:val="28"/>
        </w:rPr>
        <w:t>Method</w:t>
      </w:r>
      <w:r w:rsidR="00773B8A">
        <w:rPr>
          <w:b/>
          <w:bCs/>
          <w:sz w:val="28"/>
          <w:szCs w:val="28"/>
        </w:rPr>
        <w:t>s</w:t>
      </w:r>
    </w:p>
    <w:p w14:paraId="3D9D81AD" w14:textId="77777777" w:rsidR="009B1DFD" w:rsidRPr="009B1DFD" w:rsidRDefault="009B1DFD" w:rsidP="00B34605">
      <w:pPr>
        <w:jc w:val="both"/>
        <w:rPr>
          <w:color w:val="FF0000"/>
          <w:u w:val="single"/>
        </w:rPr>
      </w:pPr>
    </w:p>
    <w:p w14:paraId="521A1A63" w14:textId="40C42550" w:rsidR="00C9118E" w:rsidRDefault="00C9118E" w:rsidP="00B34605">
      <w:pPr>
        <w:jc w:val="both"/>
        <w:rPr>
          <w:u w:val="single"/>
        </w:rPr>
      </w:pPr>
      <w:r>
        <w:rPr>
          <w:u w:val="single"/>
        </w:rPr>
        <w:t>Design</w:t>
      </w:r>
      <w:r w:rsidR="000125F8">
        <w:rPr>
          <w:u w:val="single"/>
        </w:rPr>
        <w:t xml:space="preserve"> and participants</w:t>
      </w:r>
    </w:p>
    <w:p w14:paraId="1C3B0BAC" w14:textId="77777777" w:rsidR="00C9118E" w:rsidRDefault="00C9118E" w:rsidP="00B34605">
      <w:pPr>
        <w:jc w:val="both"/>
        <w:rPr>
          <w:u w:val="single"/>
        </w:rPr>
      </w:pPr>
    </w:p>
    <w:p w14:paraId="58774BF1" w14:textId="021EDDFC" w:rsidR="003533B0" w:rsidRPr="007B00B9" w:rsidRDefault="00387DFE" w:rsidP="003533B0">
      <w:pPr>
        <w:jc w:val="both"/>
        <w:rPr>
          <w:color w:val="000000" w:themeColor="text1"/>
        </w:rPr>
      </w:pPr>
      <w:r w:rsidRPr="00EF7BCA">
        <w:t xml:space="preserve">This qualitative study was </w:t>
      </w:r>
      <w:r w:rsidRPr="00D407EB">
        <w:rPr>
          <w:color w:val="000000" w:themeColor="text1"/>
        </w:rPr>
        <w:t>conducted at the Royal Sussex County Hospital (RSCH), Brighton, UK</w:t>
      </w:r>
      <w:r w:rsidR="00F4441F" w:rsidRPr="00D407EB">
        <w:rPr>
          <w:color w:val="000000" w:themeColor="text1"/>
        </w:rPr>
        <w:t xml:space="preserve"> between </w:t>
      </w:r>
      <w:r w:rsidR="00D407EB" w:rsidRPr="00D407EB">
        <w:rPr>
          <w:color w:val="000000" w:themeColor="text1"/>
        </w:rPr>
        <w:t>September to November 2020</w:t>
      </w:r>
      <w:r w:rsidRPr="00D407EB">
        <w:rPr>
          <w:color w:val="000000" w:themeColor="text1"/>
        </w:rPr>
        <w:t>.</w:t>
      </w:r>
      <w:r w:rsidR="00C8056A" w:rsidRPr="00D407EB">
        <w:rPr>
          <w:color w:val="000000" w:themeColor="text1"/>
        </w:rPr>
        <w:t xml:space="preserve"> </w:t>
      </w:r>
      <w:r w:rsidR="00965652" w:rsidRPr="00D407EB">
        <w:rPr>
          <w:color w:val="000000" w:themeColor="text1"/>
        </w:rPr>
        <w:t>P</w:t>
      </w:r>
      <w:r w:rsidR="00C8056A" w:rsidRPr="00D407EB">
        <w:rPr>
          <w:color w:val="000000" w:themeColor="text1"/>
        </w:rPr>
        <w:t>harmacists providing discharge services to medical patients were observed by AH</w:t>
      </w:r>
      <w:r w:rsidR="00C9118E" w:rsidRPr="00D407EB">
        <w:rPr>
          <w:color w:val="000000" w:themeColor="text1"/>
        </w:rPr>
        <w:t xml:space="preserve"> (research</w:t>
      </w:r>
      <w:r w:rsidR="0063071A">
        <w:rPr>
          <w:color w:val="000000" w:themeColor="text1"/>
        </w:rPr>
        <w:t>-</w:t>
      </w:r>
      <w:r w:rsidR="00C9118E" w:rsidRPr="00D407EB">
        <w:rPr>
          <w:color w:val="000000" w:themeColor="text1"/>
        </w:rPr>
        <w:t>fellow)</w:t>
      </w:r>
      <w:r w:rsidR="00C8056A" w:rsidRPr="00D407EB">
        <w:rPr>
          <w:color w:val="000000" w:themeColor="text1"/>
        </w:rPr>
        <w:t xml:space="preserve"> to observe their engagement in</w:t>
      </w:r>
      <w:r w:rsidR="00F4441F" w:rsidRPr="00D407EB">
        <w:rPr>
          <w:color w:val="000000" w:themeColor="text1"/>
        </w:rPr>
        <w:t xml:space="preserve"> hospitalised</w:t>
      </w:r>
      <w:r w:rsidR="00C8056A" w:rsidRPr="00D407EB">
        <w:rPr>
          <w:color w:val="000000" w:themeColor="text1"/>
        </w:rPr>
        <w:t xml:space="preserve"> patient</w:t>
      </w:r>
      <w:r w:rsidR="00F4441F" w:rsidRPr="00D407EB">
        <w:rPr>
          <w:color w:val="000000" w:themeColor="text1"/>
        </w:rPr>
        <w:t>s’</w:t>
      </w:r>
      <w:r w:rsidR="00C8056A" w:rsidRPr="00D407EB">
        <w:rPr>
          <w:color w:val="000000" w:themeColor="text1"/>
        </w:rPr>
        <w:t xml:space="preserve"> discharge proces</w:t>
      </w:r>
      <w:r w:rsidR="00641AE2">
        <w:rPr>
          <w:color w:val="000000" w:themeColor="text1"/>
        </w:rPr>
        <w:t xml:space="preserve">s and guide content of the subsequent </w:t>
      </w:r>
      <w:r w:rsidR="00965652" w:rsidRPr="00D407EB">
        <w:rPr>
          <w:color w:val="000000" w:themeColor="text1"/>
        </w:rPr>
        <w:t xml:space="preserve">semi-structured interviews with </w:t>
      </w:r>
      <w:r w:rsidR="00034D36" w:rsidRPr="00D407EB">
        <w:rPr>
          <w:color w:val="000000" w:themeColor="text1"/>
        </w:rPr>
        <w:t xml:space="preserve">five </w:t>
      </w:r>
      <w:r w:rsidR="00CD2AD3" w:rsidRPr="00D407EB">
        <w:rPr>
          <w:color w:val="000000" w:themeColor="text1"/>
        </w:rPr>
        <w:t xml:space="preserve">hypothetical </w:t>
      </w:r>
      <w:r w:rsidR="00965652" w:rsidRPr="00D407EB">
        <w:rPr>
          <w:color w:val="000000" w:themeColor="text1"/>
        </w:rPr>
        <w:t>case-vignette</w:t>
      </w:r>
      <w:r w:rsidR="00641AE2">
        <w:rPr>
          <w:color w:val="000000" w:themeColor="text1"/>
        </w:rPr>
        <w:t>s</w:t>
      </w:r>
      <w:r w:rsidR="00965652" w:rsidRPr="00D407EB">
        <w:rPr>
          <w:color w:val="000000" w:themeColor="text1"/>
        </w:rPr>
        <w:t>.</w:t>
      </w:r>
      <w:r w:rsidR="00034D36" w:rsidRPr="00D407EB">
        <w:rPr>
          <w:color w:val="000000" w:themeColor="text1"/>
        </w:rPr>
        <w:t xml:space="preserve"> </w:t>
      </w:r>
      <w:r w:rsidR="00E64494" w:rsidRPr="00D407EB">
        <w:rPr>
          <w:color w:val="000000" w:themeColor="text1"/>
        </w:rPr>
        <w:t>J</w:t>
      </w:r>
      <w:r w:rsidR="00034D36" w:rsidRPr="00D407EB">
        <w:rPr>
          <w:color w:val="000000" w:themeColor="text1"/>
        </w:rPr>
        <w:t xml:space="preserve">unior </w:t>
      </w:r>
      <w:r w:rsidR="00034D36">
        <w:rPr>
          <w:color w:val="000000" w:themeColor="text1"/>
        </w:rPr>
        <w:t>band 6 (n=</w:t>
      </w:r>
      <w:r w:rsidR="004C2D60">
        <w:rPr>
          <w:color w:val="000000" w:themeColor="text1"/>
        </w:rPr>
        <w:t>3</w:t>
      </w:r>
      <w:r w:rsidR="00034D36">
        <w:rPr>
          <w:color w:val="000000" w:themeColor="text1"/>
        </w:rPr>
        <w:t xml:space="preserve">) and </w:t>
      </w:r>
      <w:r w:rsidR="00034D36">
        <w:rPr>
          <w:color w:val="000000" w:themeColor="text1"/>
        </w:rPr>
        <w:lastRenderedPageBreak/>
        <w:t>band 7 (n=</w:t>
      </w:r>
      <w:r w:rsidR="004C2D60">
        <w:rPr>
          <w:color w:val="000000" w:themeColor="text1"/>
        </w:rPr>
        <w:t>2</w:t>
      </w:r>
      <w:r w:rsidR="00034D36">
        <w:rPr>
          <w:color w:val="000000" w:themeColor="text1"/>
        </w:rPr>
        <w:t xml:space="preserve">) pharmacists as well as specialist </w:t>
      </w:r>
      <w:r w:rsidR="00E21579">
        <w:rPr>
          <w:color w:val="000000" w:themeColor="text1"/>
        </w:rPr>
        <w:t xml:space="preserve">band 8a (n=3) and band 8c (n=2) </w:t>
      </w:r>
      <w:r w:rsidR="00034D36">
        <w:rPr>
          <w:color w:val="000000" w:themeColor="text1"/>
        </w:rPr>
        <w:t>pharmacists</w:t>
      </w:r>
      <w:r w:rsidR="00E64494">
        <w:rPr>
          <w:color w:val="000000" w:themeColor="text1"/>
        </w:rPr>
        <w:t xml:space="preserve"> were included</w:t>
      </w:r>
      <w:r w:rsidR="00034D36">
        <w:rPr>
          <w:color w:val="000000" w:themeColor="text1"/>
        </w:rPr>
        <w:t xml:space="preserve">. </w:t>
      </w:r>
    </w:p>
    <w:p w14:paraId="13725035" w14:textId="77777777" w:rsidR="002A16C1" w:rsidRPr="00D407EB" w:rsidRDefault="002A16C1" w:rsidP="0084411A">
      <w:pPr>
        <w:jc w:val="both"/>
        <w:rPr>
          <w:color w:val="000000" w:themeColor="text1"/>
        </w:rPr>
      </w:pPr>
    </w:p>
    <w:p w14:paraId="7CC4AA10" w14:textId="39795D44" w:rsidR="005C3566" w:rsidRPr="00D407EB" w:rsidRDefault="00760500" w:rsidP="0084411A">
      <w:pPr>
        <w:jc w:val="both"/>
        <w:rPr>
          <w:color w:val="000000" w:themeColor="text1"/>
        </w:rPr>
      </w:pPr>
      <w:r>
        <w:rPr>
          <w:color w:val="000000" w:themeColor="text1"/>
        </w:rPr>
        <w:t>H</w:t>
      </w:r>
      <w:r w:rsidR="00B7434C" w:rsidRPr="00D407EB">
        <w:rPr>
          <w:color w:val="000000" w:themeColor="text1"/>
        </w:rPr>
        <w:t>ypothetical c</w:t>
      </w:r>
      <w:r w:rsidR="004D795E" w:rsidRPr="00D407EB">
        <w:rPr>
          <w:color w:val="000000" w:themeColor="text1"/>
        </w:rPr>
        <w:t>ase</w:t>
      </w:r>
      <w:r w:rsidR="002D43F2">
        <w:rPr>
          <w:color w:val="000000" w:themeColor="text1"/>
        </w:rPr>
        <w:t>-</w:t>
      </w:r>
      <w:r w:rsidR="004D795E" w:rsidRPr="00D407EB">
        <w:rPr>
          <w:color w:val="000000" w:themeColor="text1"/>
        </w:rPr>
        <w:t>vignettes (</w:t>
      </w:r>
      <w:r w:rsidR="009C6801">
        <w:rPr>
          <w:color w:val="000000" w:themeColor="text1"/>
        </w:rPr>
        <w:t>appendix</w:t>
      </w:r>
      <w:r w:rsidR="004D795E" w:rsidRPr="00D407EB">
        <w:rPr>
          <w:color w:val="000000" w:themeColor="text1"/>
        </w:rPr>
        <w:t xml:space="preserve"> 1)</w:t>
      </w:r>
      <w:r>
        <w:rPr>
          <w:color w:val="000000" w:themeColor="text1"/>
        </w:rPr>
        <w:t>, g</w:t>
      </w:r>
      <w:r w:rsidRPr="00D407EB">
        <w:rPr>
          <w:color w:val="000000" w:themeColor="text1"/>
        </w:rPr>
        <w:t>uided by the research aim</w:t>
      </w:r>
      <w:r>
        <w:rPr>
          <w:color w:val="000000" w:themeColor="text1"/>
        </w:rPr>
        <w:t>,</w:t>
      </w:r>
      <w:r w:rsidR="004D795E" w:rsidRPr="00D407EB">
        <w:rPr>
          <w:color w:val="000000" w:themeColor="text1"/>
        </w:rPr>
        <w:t xml:space="preserve"> were developed by A</w:t>
      </w:r>
      <w:r w:rsidR="00C9118E" w:rsidRPr="00D407EB">
        <w:rPr>
          <w:color w:val="000000" w:themeColor="text1"/>
        </w:rPr>
        <w:t>H</w:t>
      </w:r>
      <w:r w:rsidR="004D795E" w:rsidRPr="00D407EB">
        <w:rPr>
          <w:color w:val="000000" w:themeColor="text1"/>
        </w:rPr>
        <w:t xml:space="preserve"> and KA (chief</w:t>
      </w:r>
      <w:r w:rsidR="00136B2E">
        <w:rPr>
          <w:color w:val="000000" w:themeColor="text1"/>
        </w:rPr>
        <w:t>-</w:t>
      </w:r>
      <w:r w:rsidR="004D795E" w:rsidRPr="00D407EB">
        <w:rPr>
          <w:color w:val="000000" w:themeColor="text1"/>
        </w:rPr>
        <w:t>investigator)</w:t>
      </w:r>
      <w:r w:rsidR="00C16B23">
        <w:rPr>
          <w:color w:val="000000" w:themeColor="text1"/>
        </w:rPr>
        <w:t>. B</w:t>
      </w:r>
      <w:r w:rsidR="004D795E" w:rsidRPr="00D407EB">
        <w:rPr>
          <w:color w:val="000000" w:themeColor="text1"/>
        </w:rPr>
        <w:t xml:space="preserve">ased </w:t>
      </w:r>
      <w:r w:rsidR="00865DD7">
        <w:rPr>
          <w:color w:val="000000" w:themeColor="text1"/>
        </w:rPr>
        <w:t xml:space="preserve">on </w:t>
      </w:r>
      <w:r w:rsidR="004D795E" w:rsidRPr="00D407EB">
        <w:rPr>
          <w:color w:val="000000" w:themeColor="text1"/>
        </w:rPr>
        <w:t>patients discharged from the medical wards at the RSCH</w:t>
      </w:r>
      <w:r w:rsidR="00C16B23">
        <w:rPr>
          <w:color w:val="000000" w:themeColor="text1"/>
        </w:rPr>
        <w:t xml:space="preserve">, they </w:t>
      </w:r>
      <w:r w:rsidR="00865DD7">
        <w:rPr>
          <w:color w:val="000000" w:themeColor="text1"/>
        </w:rPr>
        <w:t>were representative of the common clinical encounters</w:t>
      </w:r>
      <w:r w:rsidR="00B70305">
        <w:rPr>
          <w:color w:val="000000" w:themeColor="text1"/>
        </w:rPr>
        <w:t xml:space="preserve"> and the spectrum of MRH observed in practice</w:t>
      </w:r>
      <w:r w:rsidR="004D795E" w:rsidRPr="00D407EB">
        <w:rPr>
          <w:color w:val="000000" w:themeColor="text1"/>
        </w:rPr>
        <w:t>.</w:t>
      </w:r>
      <w:r w:rsidR="005C3566" w:rsidRPr="00D407EB">
        <w:rPr>
          <w:color w:val="000000" w:themeColor="text1"/>
        </w:rPr>
        <w:t xml:space="preserve"> </w:t>
      </w:r>
      <w:r w:rsidR="00645D13" w:rsidRPr="00D407EB">
        <w:rPr>
          <w:color w:val="000000" w:themeColor="text1"/>
        </w:rPr>
        <w:t xml:space="preserve">Application of the PRIME-RPT </w:t>
      </w:r>
      <w:r w:rsidR="00AD66F7">
        <w:rPr>
          <w:color w:val="000000" w:themeColor="text1"/>
        </w:rPr>
        <w:t xml:space="preserve">to the case vignettes </w:t>
      </w:r>
      <w:r w:rsidR="00645D13" w:rsidRPr="00D407EB">
        <w:rPr>
          <w:color w:val="000000" w:themeColor="text1"/>
        </w:rPr>
        <w:t>produced a risk range of 4-48%</w:t>
      </w:r>
      <w:r w:rsidR="00AD66F7">
        <w:rPr>
          <w:color w:val="000000" w:themeColor="text1"/>
        </w:rPr>
        <w:t>.</w:t>
      </w:r>
      <w:r w:rsidR="00645D13" w:rsidRPr="00D407EB">
        <w:rPr>
          <w:color w:val="000000" w:themeColor="text1"/>
        </w:rPr>
        <w:t xml:space="preserve"> </w:t>
      </w:r>
    </w:p>
    <w:p w14:paraId="59EF83FA" w14:textId="77777777" w:rsidR="00645D13" w:rsidRPr="00D407EB" w:rsidRDefault="00645D13" w:rsidP="0084411A">
      <w:pPr>
        <w:jc w:val="both"/>
        <w:rPr>
          <w:color w:val="000000" w:themeColor="text1"/>
        </w:rPr>
      </w:pPr>
    </w:p>
    <w:p w14:paraId="52F01D17" w14:textId="5D6F78A7" w:rsidR="0084411A" w:rsidRPr="00D407EB" w:rsidRDefault="0084411A" w:rsidP="0084411A">
      <w:pPr>
        <w:jc w:val="both"/>
        <w:rPr>
          <w:color w:val="000000" w:themeColor="text1"/>
        </w:rPr>
      </w:pPr>
      <w:r w:rsidRPr="00D407EB">
        <w:rPr>
          <w:color w:val="000000" w:themeColor="text1"/>
        </w:rPr>
        <w:t>Each case</w:t>
      </w:r>
      <w:r w:rsidR="002D43F2">
        <w:rPr>
          <w:color w:val="000000" w:themeColor="text1"/>
        </w:rPr>
        <w:t>-</w:t>
      </w:r>
      <w:r w:rsidRPr="00D407EB">
        <w:rPr>
          <w:color w:val="000000" w:themeColor="text1"/>
        </w:rPr>
        <w:t xml:space="preserve">vignette featured patient demographic data including age, gender, hospital length of stay and discharge diagnosis. A clinical summary including co-morbidities, social history, medications issued, available blood tests and MRH risk </w:t>
      </w:r>
      <w:r w:rsidR="00B7434C" w:rsidRPr="00D407EB">
        <w:rPr>
          <w:color w:val="000000" w:themeColor="text1"/>
        </w:rPr>
        <w:t>score</w:t>
      </w:r>
      <w:r w:rsidRPr="00D407EB">
        <w:rPr>
          <w:color w:val="000000" w:themeColor="text1"/>
        </w:rPr>
        <w:t xml:space="preserve"> calculated by the PRIME-RPT formula were included. The</w:t>
      </w:r>
      <w:r w:rsidR="00384663" w:rsidRPr="00D407EB">
        <w:rPr>
          <w:color w:val="000000" w:themeColor="text1"/>
        </w:rPr>
        <w:t>se hypothetical</w:t>
      </w:r>
      <w:r w:rsidRPr="00D407EB">
        <w:rPr>
          <w:color w:val="000000" w:themeColor="text1"/>
        </w:rPr>
        <w:t xml:space="preserve"> case</w:t>
      </w:r>
      <w:r w:rsidR="006F3AAC">
        <w:rPr>
          <w:color w:val="000000" w:themeColor="text1"/>
        </w:rPr>
        <w:t>-</w:t>
      </w:r>
      <w:r w:rsidRPr="00D407EB">
        <w:rPr>
          <w:color w:val="000000" w:themeColor="text1"/>
        </w:rPr>
        <w:t xml:space="preserve">vignettes were discussed with and agreed by all co-authors. </w:t>
      </w:r>
    </w:p>
    <w:p w14:paraId="7E737021" w14:textId="126AE262" w:rsidR="001A3CF1" w:rsidRDefault="001A3CF1" w:rsidP="00B34605">
      <w:pPr>
        <w:jc w:val="both"/>
        <w:rPr>
          <w:b/>
          <w:bCs/>
          <w:sz w:val="28"/>
          <w:szCs w:val="28"/>
        </w:rPr>
      </w:pPr>
    </w:p>
    <w:p w14:paraId="297B8BD7" w14:textId="3F9B9048" w:rsidR="00D730B4" w:rsidRDefault="006229A9" w:rsidP="00B34605">
      <w:pPr>
        <w:jc w:val="both"/>
        <w:rPr>
          <w:u w:val="single"/>
        </w:rPr>
      </w:pPr>
      <w:r w:rsidRPr="006229A9">
        <w:rPr>
          <w:u w:val="single"/>
        </w:rPr>
        <w:t>Data collection</w:t>
      </w:r>
    </w:p>
    <w:p w14:paraId="7001FA5E" w14:textId="16EED180" w:rsidR="006229A9" w:rsidRDefault="006229A9" w:rsidP="00B34605">
      <w:pPr>
        <w:jc w:val="both"/>
        <w:rPr>
          <w:u w:val="single"/>
        </w:rPr>
      </w:pPr>
    </w:p>
    <w:p w14:paraId="597F1B09" w14:textId="44ACFC30" w:rsidR="00714FCE" w:rsidRDefault="00A436BE" w:rsidP="00B34605">
      <w:pPr>
        <w:jc w:val="both"/>
      </w:pPr>
      <w:r>
        <w:t>Face-to face i</w:t>
      </w:r>
      <w:r w:rsidR="006229A9" w:rsidRPr="006229A9">
        <w:t>nterviews</w:t>
      </w:r>
      <w:r w:rsidR="006229A9">
        <w:t xml:space="preserve"> with pharmacists </w:t>
      </w:r>
      <w:r w:rsidR="006229A9" w:rsidRPr="00D407EB">
        <w:rPr>
          <w:color w:val="000000" w:themeColor="text1"/>
        </w:rPr>
        <w:t xml:space="preserve">were conducted by AH. The case vignettes </w:t>
      </w:r>
      <w:r w:rsidR="00293B89" w:rsidRPr="00D407EB">
        <w:rPr>
          <w:color w:val="000000" w:themeColor="text1"/>
        </w:rPr>
        <w:t>were presented to</w:t>
      </w:r>
      <w:r w:rsidR="009668E8" w:rsidRPr="00D407EB">
        <w:rPr>
          <w:color w:val="000000" w:themeColor="text1"/>
        </w:rPr>
        <w:t xml:space="preserve"> participating</w:t>
      </w:r>
      <w:r w:rsidR="00293B89" w:rsidRPr="00D407EB">
        <w:rPr>
          <w:color w:val="000000" w:themeColor="text1"/>
        </w:rPr>
        <w:t xml:space="preserve"> pharmacists along with the calculated PRIME-RPT score</w:t>
      </w:r>
      <w:r w:rsidR="00293B89">
        <w:t xml:space="preserve"> to help guide discussion</w:t>
      </w:r>
      <w:r w:rsidR="007F7E31">
        <w:t>.</w:t>
      </w:r>
      <w:r w:rsidR="00293B89">
        <w:t xml:space="preserve"> Interviews lasted </w:t>
      </w:r>
      <w:r w:rsidR="004D6582">
        <w:t>20</w:t>
      </w:r>
      <w:r w:rsidR="00293B89">
        <w:t xml:space="preserve"> minutes to 1 hour. All interviews were digitally recorded and transcribed with accompanying field notes. Data were analysed </w:t>
      </w:r>
      <w:r w:rsidR="00F859CB">
        <w:t xml:space="preserve">using the Framework approach, a method developed for social policy research </w:t>
      </w:r>
      <w:r w:rsidR="004826AE">
        <w:fldChar w:fldCharType="begin" w:fldLock="1"/>
      </w:r>
      <w:r w:rsidR="003D6AB7">
        <w:instrText>ADDIN CSL_CITATION {"citationItems":[{"id":"ITEM-1","itemData":{"author":[{"dropping-particle":"","family":"Ritchie","given":"Jane","non-dropping-particle":"","parse-names":false,"suffix":""},{"dropping-particle":"","family":"Spencer","given":"Liz","non-dropping-particle":"","parse-names":false,"suffix":""},{"dropping-particle":"","family":"O’Connor","given":"William","non-dropping-particle":"","parse-names":false,"suffix":""}],"container-title":"Qualitative research practice: A guide for social science students and researchers","id":"ITEM-1","issued":{"date-parts":[["2003"]]},"page":"219-262","title":"Carrying out qualitative analysis","type":"article-journal","volume":"2003"},"uris":["http://www.mendeley.com/documents/?uuid=58956f9f-6f81-4c5c-b987-24e7e67262bb"]}],"mendeley":{"formattedCitation":"(10)","plainTextFormattedCitation":"(10)","previouslyFormattedCitation":"(10)"},"properties":{"noteIndex":0},"schema":"https://github.com/citation-style-language/schema/raw/master/csl-citation.json"}</w:instrText>
      </w:r>
      <w:r w:rsidR="004826AE">
        <w:fldChar w:fldCharType="separate"/>
      </w:r>
      <w:r w:rsidR="000F1B04" w:rsidRPr="000F1B04">
        <w:rPr>
          <w:noProof/>
        </w:rPr>
        <w:t>(10)</w:t>
      </w:r>
      <w:r w:rsidR="004826AE">
        <w:fldChar w:fldCharType="end"/>
      </w:r>
      <w:r w:rsidR="00283A30" w:rsidRPr="00283A30">
        <w:rPr>
          <w:color w:val="000000" w:themeColor="text1"/>
        </w:rPr>
        <w:t>.</w:t>
      </w:r>
      <w:r w:rsidR="00F859CB">
        <w:t xml:space="preserve"> </w:t>
      </w:r>
      <w:r w:rsidR="00526275">
        <w:t>The following key stages were included:</w:t>
      </w:r>
      <w:r w:rsidR="00AA2130">
        <w:t xml:space="preserve"> verbatim transcription of recorded interviews, familiarisation, identifying a thematic framework, </w:t>
      </w:r>
      <w:r w:rsidR="002E33E8">
        <w:t xml:space="preserve">indexing, </w:t>
      </w:r>
      <w:r w:rsidR="00AA2130">
        <w:t>charting, mapping, and interpretation.</w:t>
      </w:r>
      <w:r w:rsidR="009D4B9A">
        <w:t xml:space="preserve"> </w:t>
      </w:r>
    </w:p>
    <w:p w14:paraId="50703460" w14:textId="7B962B0D" w:rsidR="00714FCE" w:rsidRDefault="00714FCE" w:rsidP="00B34605">
      <w:pPr>
        <w:jc w:val="both"/>
      </w:pPr>
    </w:p>
    <w:p w14:paraId="4D2D4AD5" w14:textId="6F127E6C" w:rsidR="00714FCE" w:rsidRDefault="00714FCE" w:rsidP="00B34605">
      <w:pPr>
        <w:jc w:val="both"/>
      </w:pPr>
      <w:r w:rsidRPr="00714FCE">
        <w:t xml:space="preserve">AH and KA </w:t>
      </w:r>
      <w:r w:rsidR="000C29B5">
        <w:t>independently</w:t>
      </w:r>
      <w:r w:rsidR="000C29B5" w:rsidRPr="00714FCE">
        <w:t xml:space="preserve"> </w:t>
      </w:r>
      <w:r w:rsidRPr="00714FCE">
        <w:t xml:space="preserve">read the interview transcripts to identify potential themes, followed by discussion of identified themes. They considered how to retain the diversity of the initial codes and areas of overlap to produce overarching thematic headings and higher-level sub-themes. The research question and impact of using the PRIME-RPT in clinical practice informed this process. Suitable quotes congruent with overarching themes were identified. </w:t>
      </w:r>
    </w:p>
    <w:p w14:paraId="5EED13D3" w14:textId="77777777" w:rsidR="00714FCE" w:rsidRDefault="00714FCE" w:rsidP="00B34605">
      <w:pPr>
        <w:jc w:val="both"/>
      </w:pPr>
    </w:p>
    <w:p w14:paraId="02850E7D" w14:textId="3D30075C" w:rsidR="00A705DF" w:rsidRPr="00A67EF4" w:rsidRDefault="00A705DF" w:rsidP="00B34605">
      <w:pPr>
        <w:jc w:val="both"/>
        <w:rPr>
          <w:color w:val="000000" w:themeColor="text1"/>
        </w:rPr>
      </w:pPr>
      <w:r w:rsidRPr="00923585">
        <w:rPr>
          <w:color w:val="000000" w:themeColor="text1"/>
        </w:rPr>
        <w:t>Standard</w:t>
      </w:r>
      <w:r w:rsidR="009D4B9A" w:rsidRPr="00923585">
        <w:rPr>
          <w:color w:val="000000" w:themeColor="text1"/>
        </w:rPr>
        <w:t xml:space="preserve"> techniques were used to ensure systematic, verifiable approaches to analysis and ensure procedural clarity. These included consistent availability of </w:t>
      </w:r>
      <w:r w:rsidR="008D27F1" w:rsidRPr="00923585">
        <w:rPr>
          <w:color w:val="000000" w:themeColor="text1"/>
        </w:rPr>
        <w:t>verbatim transcrip</w:t>
      </w:r>
      <w:r w:rsidRPr="00923585">
        <w:rPr>
          <w:color w:val="000000" w:themeColor="text1"/>
        </w:rPr>
        <w:t>ts and digital audio recording.</w:t>
      </w:r>
      <w:r w:rsidR="004D6582" w:rsidRPr="00923585">
        <w:rPr>
          <w:color w:val="000000" w:themeColor="text1"/>
        </w:rPr>
        <w:t xml:space="preserve"> </w:t>
      </w:r>
      <w:r w:rsidRPr="00923585">
        <w:rPr>
          <w:color w:val="000000" w:themeColor="text1"/>
        </w:rPr>
        <w:t>Data collection took place until data saturation (defined as no new themes being elicited)</w:t>
      </w:r>
      <w:r w:rsidR="00923585" w:rsidRPr="00923585">
        <w:rPr>
          <w:color w:val="000000" w:themeColor="text1"/>
        </w:rPr>
        <w:t xml:space="preserve"> </w:t>
      </w:r>
      <w:r w:rsidR="00923585" w:rsidRPr="00923585">
        <w:rPr>
          <w:color w:val="000000" w:themeColor="text1"/>
        </w:rPr>
        <w:fldChar w:fldCharType="begin" w:fldLock="1"/>
      </w:r>
      <w:r w:rsidR="00A67EF4">
        <w:rPr>
          <w:color w:val="000000" w:themeColor="text1"/>
        </w:rPr>
        <w:instrText>ADDIN CSL_CITATION {"citationItems":[{"id":"ITEM-1","itemData":{"ISBN":"1526448807","author":[{"dropping-particle":"","family":"Green","given":"Judith","non-dropping-particle":"","parse-names":false,"suffix":""},{"dropping-particle":"","family":"Thorogood","given":"Nicki","non-dropping-particle":"","parse-names":false,"suffix":""}],"id":"ITEM-1","issued":{"date-parts":[["2018"]]},"publisher":"SAGE Publications Ltd","title":"Qualitative methods for health research","type":"book"},"uris":["http://www.mendeley.com/documents/?uuid=56edbb38-df09-4ed4-8b8e-8b4bcff9282e"]}],"mendeley":{"formattedCitation":"(11)","plainTextFormattedCitation":"(11)","previouslyFormattedCitation":"(11)"},"properties":{"noteIndex":0},"schema":"https://github.com/citation-style-language/schema/raw/master/csl-citation.json"}</w:instrText>
      </w:r>
      <w:r w:rsidR="00923585" w:rsidRPr="00923585">
        <w:rPr>
          <w:color w:val="000000" w:themeColor="text1"/>
        </w:rPr>
        <w:fldChar w:fldCharType="separate"/>
      </w:r>
      <w:r w:rsidR="00923585" w:rsidRPr="00923585">
        <w:rPr>
          <w:noProof/>
          <w:color w:val="000000" w:themeColor="text1"/>
        </w:rPr>
        <w:t>(11)</w:t>
      </w:r>
      <w:r w:rsidR="00923585" w:rsidRPr="00923585">
        <w:rPr>
          <w:color w:val="000000" w:themeColor="text1"/>
        </w:rPr>
        <w:fldChar w:fldCharType="end"/>
      </w:r>
      <w:r w:rsidRPr="00923585">
        <w:rPr>
          <w:color w:val="000000" w:themeColor="text1"/>
        </w:rPr>
        <w:t xml:space="preserve">. Data were analysed thematically using a Framework approach, developed by the National Centre for Social Research, particularly suited to multidisciplinary research teams </w:t>
      </w:r>
      <w:r w:rsidR="00923585" w:rsidRPr="00923585">
        <w:rPr>
          <w:color w:val="000000" w:themeColor="text1"/>
        </w:rPr>
        <w:fldChar w:fldCharType="begin" w:fldLock="1"/>
      </w:r>
      <w:r w:rsidR="00A67EF4">
        <w:rPr>
          <w:color w:val="000000" w:themeColor="text1"/>
        </w:rPr>
        <w:instrText>ADDIN CSL_CITATION {"citationItems":[{"id":"ITEM-1","itemData":{"ISBN":"1446296202","author":[{"dropping-particle":"","family":"Ritchie","given":"Jane","non-dropping-particle":"","parse-names":false,"suffix":""},{"dropping-particle":"","family":"Lewis","given":"Jane","non-dropping-particle":"","parse-names":false,"suffix":""},{"dropping-particle":"","family":"Nicholls","given":"Carol McNaughton","non-dropping-particle":"","parse-names":false,"suffix":""},{"dropping-particle":"","family":"Ormston","given":"Rachel","non-dropping-particle":"","parse-names":false,"suffix":""}],"id":"ITEM-1","issued":{"date-parts":[["2013"]]},"publisher":"SAGE Publications Ltd","title":"Qualitative research practice: A guide for social science students and researchers","type":"book"},"uris":["http://www.mendeley.com/documents/?uuid=8a316b53-8d29-488f-8aa4-b14221f01897"]},{"id":"ITEM-2","itemData":{"DOI":"10.1186/1471-2288-13-117","ISSN":"1471-2288","abstract":"The Framework Method is becoming an increasingly popular approach to the management and analysis of qualitative data in health research. However, there is confusion about its potential application and limitations.","author":[{"dropping-particle":"","family":"Gale","given":"Nicola K","non-dropping-particle":"","parse-names":false,"suffix":""},{"dropping-particle":"","family":"Heath","given":"Gemma","non-dropping-particle":"","parse-names":false,"suffix":""},{"dropping-particle":"","family":"Cameron","given":"Elaine","non-dropping-particle":"","parse-names":false,"suffix":""},{"dropping-particle":"","family":"Rashid","given":"Sabina","non-dropping-particle":"","parse-names":false,"suffix":""},{"dropping-particle":"","family":"Redwood","given":"Sabi","non-dropping-particle":"","parse-names":false,"suffix":""}],"container-title":"BMC Medical Research Methodology","id":"ITEM-2","issue":"1","issued":{"date-parts":[["2013"]]},"page":"117","title":"Using the framework method for the analysis of qualitative data in multi-disciplinary health research","type":"article-journal","volume":"13"},"uris":["http://www.mendeley.com/documents/?uuid=d3b1489d-ede7-4d20-8cbb-1071e5ad1201"]}],"mendeley":{"formattedCitation":"(12,13)","plainTextFormattedCitation":"(12,13)","previouslyFormattedCitation":"(12,13)"},"properties":{"noteIndex":0},"schema":"https://github.com/citation-style-language/schema/raw/master/csl-citation.json"}</w:instrText>
      </w:r>
      <w:r w:rsidR="00923585" w:rsidRPr="00923585">
        <w:rPr>
          <w:color w:val="000000" w:themeColor="text1"/>
        </w:rPr>
        <w:fldChar w:fldCharType="separate"/>
      </w:r>
      <w:r w:rsidR="00923585" w:rsidRPr="00923585">
        <w:rPr>
          <w:noProof/>
          <w:color w:val="000000" w:themeColor="text1"/>
        </w:rPr>
        <w:t>(12,13)</w:t>
      </w:r>
      <w:r w:rsidR="00923585" w:rsidRPr="00923585">
        <w:rPr>
          <w:color w:val="000000" w:themeColor="text1"/>
        </w:rPr>
        <w:fldChar w:fldCharType="end"/>
      </w:r>
      <w:r w:rsidRPr="00923585">
        <w:rPr>
          <w:color w:val="000000" w:themeColor="text1"/>
        </w:rPr>
        <w:t>. This approach involves five processes: data familiarisation, coding, indexing, charting, and interpretation.</w:t>
      </w:r>
    </w:p>
    <w:p w14:paraId="45898DBA" w14:textId="77777777" w:rsidR="00A705DF" w:rsidRDefault="00A705DF" w:rsidP="00B34605">
      <w:pPr>
        <w:jc w:val="both"/>
        <w:rPr>
          <w:color w:val="FF0000"/>
        </w:rPr>
      </w:pPr>
    </w:p>
    <w:p w14:paraId="2C05AB79" w14:textId="3DB276D1" w:rsidR="005D44EF" w:rsidRDefault="004D6582" w:rsidP="00B34605">
      <w:pPr>
        <w:jc w:val="both"/>
        <w:rPr>
          <w:color w:val="000000" w:themeColor="text1"/>
        </w:rPr>
      </w:pPr>
      <w:r w:rsidRPr="00D407EB">
        <w:rPr>
          <w:color w:val="000000" w:themeColor="text1"/>
        </w:rPr>
        <w:t>D</w:t>
      </w:r>
      <w:r w:rsidR="008D27F1" w:rsidRPr="00D407EB">
        <w:rPr>
          <w:color w:val="000000" w:themeColor="text1"/>
        </w:rPr>
        <w:t xml:space="preserve">ata analysis was iterative, in which issues raised by </w:t>
      </w:r>
      <w:r w:rsidR="00311020" w:rsidRPr="00D407EB">
        <w:rPr>
          <w:color w:val="000000" w:themeColor="text1"/>
        </w:rPr>
        <w:t xml:space="preserve">participants were fed into </w:t>
      </w:r>
      <w:r w:rsidR="003731C8" w:rsidRPr="00D407EB">
        <w:rPr>
          <w:color w:val="000000" w:themeColor="text1"/>
        </w:rPr>
        <w:t>subsequent interviews. This was further assisted by weekly discussions of the interview findings between AH</w:t>
      </w:r>
      <w:r w:rsidR="00AC45BB" w:rsidRPr="00D407EB">
        <w:rPr>
          <w:color w:val="000000" w:themeColor="text1"/>
        </w:rPr>
        <w:t xml:space="preserve"> and</w:t>
      </w:r>
      <w:r w:rsidR="003731C8" w:rsidRPr="00D407EB">
        <w:rPr>
          <w:color w:val="000000" w:themeColor="text1"/>
        </w:rPr>
        <w:t xml:space="preserve"> KA and additional regular discussion of findings with </w:t>
      </w:r>
      <w:r w:rsidR="009668E8" w:rsidRPr="00D407EB">
        <w:rPr>
          <w:color w:val="000000" w:themeColor="text1"/>
        </w:rPr>
        <w:t xml:space="preserve">the </w:t>
      </w:r>
      <w:r w:rsidR="003731C8" w:rsidRPr="00D407EB">
        <w:rPr>
          <w:color w:val="000000" w:themeColor="text1"/>
        </w:rPr>
        <w:t xml:space="preserve">broader multidisciplinary research team </w:t>
      </w:r>
      <w:r w:rsidR="009668E8" w:rsidRPr="00D407EB">
        <w:rPr>
          <w:color w:val="000000" w:themeColor="text1"/>
        </w:rPr>
        <w:t>who all have</w:t>
      </w:r>
      <w:r w:rsidR="003731C8" w:rsidRPr="00D407EB">
        <w:rPr>
          <w:color w:val="000000" w:themeColor="text1"/>
        </w:rPr>
        <w:t xml:space="preserve"> relevant expertise in geriatric</w:t>
      </w:r>
      <w:r w:rsidR="00A3478B">
        <w:rPr>
          <w:color w:val="000000" w:themeColor="text1"/>
        </w:rPr>
        <w:t xml:space="preserve"> and pharmaceutical</w:t>
      </w:r>
      <w:r w:rsidR="003731C8" w:rsidRPr="00D407EB">
        <w:rPr>
          <w:color w:val="000000" w:themeColor="text1"/>
        </w:rPr>
        <w:t xml:space="preserve"> care</w:t>
      </w:r>
      <w:r w:rsidR="00A3478B">
        <w:rPr>
          <w:color w:val="000000" w:themeColor="text1"/>
        </w:rPr>
        <w:t>.</w:t>
      </w:r>
      <w:r w:rsidR="00F91715" w:rsidRPr="00D407EB">
        <w:rPr>
          <w:color w:val="000000" w:themeColor="text1"/>
        </w:rPr>
        <w:t xml:space="preserve"> </w:t>
      </w:r>
    </w:p>
    <w:p w14:paraId="554C2A6C" w14:textId="66044D8B" w:rsidR="00F002B7" w:rsidRDefault="00F002B7" w:rsidP="00B34605">
      <w:pPr>
        <w:jc w:val="both"/>
        <w:rPr>
          <w:color w:val="000000" w:themeColor="text1"/>
        </w:rPr>
      </w:pPr>
    </w:p>
    <w:p w14:paraId="6BFC6AE7" w14:textId="77777777" w:rsidR="00A705DF" w:rsidRPr="00A4477C" w:rsidRDefault="00A705DF" w:rsidP="00B34605">
      <w:pPr>
        <w:jc w:val="both"/>
      </w:pPr>
    </w:p>
    <w:p w14:paraId="4E1FC54E" w14:textId="0316C6EF" w:rsidR="00F002B7" w:rsidRPr="00A4477C" w:rsidRDefault="00F002B7" w:rsidP="00B34605">
      <w:pPr>
        <w:jc w:val="both"/>
        <w:rPr>
          <w:u w:val="single"/>
        </w:rPr>
      </w:pPr>
      <w:r w:rsidRPr="00A4477C">
        <w:rPr>
          <w:u w:val="single"/>
        </w:rPr>
        <w:t>Ethical considerations</w:t>
      </w:r>
    </w:p>
    <w:p w14:paraId="1BDA778C" w14:textId="2728FC99" w:rsidR="00F002B7" w:rsidRPr="00A4477C" w:rsidRDefault="00F002B7" w:rsidP="00B34605">
      <w:pPr>
        <w:jc w:val="both"/>
        <w:rPr>
          <w:u w:val="single"/>
        </w:rPr>
      </w:pPr>
    </w:p>
    <w:p w14:paraId="0D7B244D" w14:textId="22D4315C" w:rsidR="00670BC7" w:rsidRPr="00A4477C" w:rsidRDefault="00F002B7" w:rsidP="00A4477C">
      <w:r w:rsidRPr="00A4477C">
        <w:t>Th</w:t>
      </w:r>
      <w:r w:rsidR="00BF3C66" w:rsidRPr="00A4477C">
        <w:t>e</w:t>
      </w:r>
      <w:r w:rsidRPr="00A4477C">
        <w:t xml:space="preserve"> study was </w:t>
      </w:r>
      <w:r w:rsidR="00BF3C66" w:rsidRPr="00A4477C">
        <w:t xml:space="preserve">presented and </w:t>
      </w:r>
      <w:r w:rsidRPr="00A4477C">
        <w:rPr>
          <w:color w:val="000000" w:themeColor="text1"/>
        </w:rPr>
        <w:t xml:space="preserve">registered with the local Pharmacy Research and Audit Group </w:t>
      </w:r>
      <w:r w:rsidR="004177CF" w:rsidRPr="00A4477C">
        <w:rPr>
          <w:color w:val="000000" w:themeColor="text1"/>
        </w:rPr>
        <w:t>at</w:t>
      </w:r>
      <w:r w:rsidRPr="00A4477C">
        <w:rPr>
          <w:color w:val="000000" w:themeColor="text1"/>
        </w:rPr>
        <w:t xml:space="preserve"> RSCH</w:t>
      </w:r>
      <w:r w:rsidR="00A4477C" w:rsidRPr="00A4477C">
        <w:rPr>
          <w:color w:val="000000" w:themeColor="text1"/>
        </w:rPr>
        <w:t xml:space="preserve"> (reference: </w:t>
      </w:r>
      <w:r w:rsidR="00A4477C" w:rsidRPr="00A4477C">
        <w:rPr>
          <w:color w:val="000000"/>
        </w:rPr>
        <w:t>PRAGSEP20/01</w:t>
      </w:r>
      <w:r w:rsidR="00A4477C" w:rsidRPr="00A4477C">
        <w:t>)</w:t>
      </w:r>
      <w:r w:rsidRPr="00A4477C">
        <w:rPr>
          <w:color w:val="000000" w:themeColor="text1"/>
        </w:rPr>
        <w:t>. It was deemed to</w:t>
      </w:r>
      <w:r w:rsidR="00BF3C66" w:rsidRPr="00A4477C">
        <w:rPr>
          <w:color w:val="000000" w:themeColor="text1"/>
        </w:rPr>
        <w:t xml:space="preserve"> be</w:t>
      </w:r>
      <w:r w:rsidRPr="00A4477C">
        <w:rPr>
          <w:color w:val="000000" w:themeColor="text1"/>
        </w:rPr>
        <w:t xml:space="preserve"> part of service evaluation of </w:t>
      </w:r>
      <w:r w:rsidRPr="00A4477C">
        <w:rPr>
          <w:color w:val="000000" w:themeColor="text1"/>
        </w:rPr>
        <w:lastRenderedPageBreak/>
        <w:t>current pharmacy discharge processes</w:t>
      </w:r>
      <w:r w:rsidR="00BF309D" w:rsidRPr="00A4477C">
        <w:rPr>
          <w:color w:val="000000" w:themeColor="text1"/>
        </w:rPr>
        <w:t xml:space="preserve"> and therefore not classified as </w:t>
      </w:r>
      <w:r w:rsidRPr="00A4477C">
        <w:rPr>
          <w:color w:val="000000" w:themeColor="text1"/>
        </w:rPr>
        <w:t>‘clinical research that require</w:t>
      </w:r>
      <w:r w:rsidR="00BF309D" w:rsidRPr="00A4477C">
        <w:rPr>
          <w:color w:val="000000" w:themeColor="text1"/>
        </w:rPr>
        <w:t>d</w:t>
      </w:r>
      <w:r w:rsidRPr="00A4477C">
        <w:rPr>
          <w:color w:val="000000" w:themeColor="text1"/>
        </w:rPr>
        <w:t xml:space="preserve"> ethical approval.’</w:t>
      </w:r>
      <w:r w:rsidR="00BF309D" w:rsidRPr="00A4477C">
        <w:rPr>
          <w:color w:val="000000" w:themeColor="text1"/>
        </w:rPr>
        <w:t xml:space="preserve"> Voluntary</w:t>
      </w:r>
      <w:r w:rsidR="00BF309D" w:rsidRPr="00EF7BCA">
        <w:rPr>
          <w:color w:val="000000" w:themeColor="text1"/>
        </w:rPr>
        <w:t xml:space="preserve"> semi-structured interviews with pharmacists included only discussion of hypothetical scenarios; there was no requirement for ethical approval.</w:t>
      </w:r>
    </w:p>
    <w:p w14:paraId="290BF824" w14:textId="77777777" w:rsidR="00570627" w:rsidRPr="00EF7BCA" w:rsidRDefault="00570627" w:rsidP="00843193">
      <w:pPr>
        <w:jc w:val="both"/>
        <w:rPr>
          <w:b/>
          <w:bCs/>
          <w:color w:val="FF0000"/>
          <w:sz w:val="28"/>
          <w:szCs w:val="28"/>
        </w:rPr>
      </w:pPr>
    </w:p>
    <w:p w14:paraId="730D24EC" w14:textId="3E62C7C7" w:rsidR="008A5F2E" w:rsidRPr="00EF7BCA" w:rsidRDefault="00D0181E" w:rsidP="00843193">
      <w:pPr>
        <w:jc w:val="both"/>
        <w:rPr>
          <w:sz w:val="28"/>
          <w:szCs w:val="28"/>
        </w:rPr>
      </w:pPr>
      <w:r w:rsidRPr="00EF7BCA">
        <w:rPr>
          <w:b/>
          <w:bCs/>
          <w:sz w:val="28"/>
          <w:szCs w:val="28"/>
        </w:rPr>
        <w:t>Results</w:t>
      </w:r>
    </w:p>
    <w:p w14:paraId="33AF1B8C" w14:textId="77777777" w:rsidR="00766FA3" w:rsidRPr="009A5EEB" w:rsidRDefault="00766FA3" w:rsidP="00843193">
      <w:pPr>
        <w:jc w:val="both"/>
        <w:rPr>
          <w:color w:val="000000" w:themeColor="text1"/>
          <w:u w:val="single"/>
        </w:rPr>
      </w:pPr>
    </w:p>
    <w:p w14:paraId="4B40A382" w14:textId="5FEC338D" w:rsidR="002330AB" w:rsidRPr="009A5EEB" w:rsidRDefault="005C27FB" w:rsidP="00843193">
      <w:pPr>
        <w:jc w:val="both"/>
        <w:rPr>
          <w:color w:val="000000" w:themeColor="text1"/>
        </w:rPr>
      </w:pPr>
      <w:r w:rsidRPr="009A5EEB">
        <w:rPr>
          <w:color w:val="000000" w:themeColor="text1"/>
        </w:rPr>
        <w:t>The</w:t>
      </w:r>
      <w:r w:rsidR="007500CC" w:rsidRPr="009A5EEB">
        <w:rPr>
          <w:color w:val="000000" w:themeColor="text1"/>
        </w:rPr>
        <w:t xml:space="preserve">matic </w:t>
      </w:r>
      <w:r w:rsidRPr="009A5EEB">
        <w:rPr>
          <w:color w:val="000000" w:themeColor="text1"/>
        </w:rPr>
        <w:t>analysis</w:t>
      </w:r>
      <w:r w:rsidR="007500CC" w:rsidRPr="009A5EEB">
        <w:rPr>
          <w:color w:val="000000" w:themeColor="text1"/>
        </w:rPr>
        <w:t xml:space="preserve"> of the pharmacists’ interviews</w:t>
      </w:r>
      <w:r w:rsidRPr="009A5EEB">
        <w:rPr>
          <w:color w:val="000000" w:themeColor="text1"/>
        </w:rPr>
        <w:t xml:space="preserve"> produced </w:t>
      </w:r>
      <w:r w:rsidR="0000688B" w:rsidRPr="009A5EEB">
        <w:rPr>
          <w:color w:val="000000" w:themeColor="text1"/>
        </w:rPr>
        <w:t>seven</w:t>
      </w:r>
      <w:r w:rsidRPr="009A5EEB">
        <w:rPr>
          <w:color w:val="000000" w:themeColor="text1"/>
        </w:rPr>
        <w:t xml:space="preserve"> </w:t>
      </w:r>
      <w:r w:rsidR="0000688B" w:rsidRPr="009A5EEB">
        <w:rPr>
          <w:color w:val="000000" w:themeColor="text1"/>
        </w:rPr>
        <w:t xml:space="preserve">distinct </w:t>
      </w:r>
      <w:r w:rsidRPr="009A5EEB">
        <w:rPr>
          <w:color w:val="000000" w:themeColor="text1"/>
        </w:rPr>
        <w:t>themes</w:t>
      </w:r>
      <w:r w:rsidR="007500CC" w:rsidRPr="009A5EEB">
        <w:rPr>
          <w:color w:val="000000" w:themeColor="text1"/>
        </w:rPr>
        <w:t xml:space="preserve"> around the PRIME-RPT</w:t>
      </w:r>
      <w:r w:rsidR="0000688B" w:rsidRPr="009A5EEB">
        <w:rPr>
          <w:color w:val="000000" w:themeColor="text1"/>
        </w:rPr>
        <w:t xml:space="preserve"> (table </w:t>
      </w:r>
      <w:r w:rsidR="00113020" w:rsidRPr="009A5EEB">
        <w:rPr>
          <w:color w:val="000000" w:themeColor="text1"/>
        </w:rPr>
        <w:t>1</w:t>
      </w:r>
      <w:r w:rsidR="0000688B" w:rsidRPr="009A5EEB">
        <w:rPr>
          <w:color w:val="000000" w:themeColor="text1"/>
        </w:rPr>
        <w:t>)</w:t>
      </w:r>
      <w:r w:rsidRPr="009A5EEB">
        <w:rPr>
          <w:color w:val="000000" w:themeColor="text1"/>
        </w:rPr>
        <w:t>.</w:t>
      </w:r>
    </w:p>
    <w:p w14:paraId="3F6DE578" w14:textId="77777777" w:rsidR="00057D9E" w:rsidRPr="00EF7BCA" w:rsidRDefault="00057D9E" w:rsidP="00843193">
      <w:pPr>
        <w:jc w:val="both"/>
        <w:rPr>
          <w:strike/>
        </w:rPr>
      </w:pPr>
    </w:p>
    <w:p w14:paraId="7608F379" w14:textId="6845E84E" w:rsidR="00057D9E" w:rsidRPr="00EF7BCA" w:rsidRDefault="00057D9E" w:rsidP="00843193">
      <w:pPr>
        <w:pStyle w:val="ListParagraph"/>
        <w:numPr>
          <w:ilvl w:val="0"/>
          <w:numId w:val="11"/>
        </w:numPr>
        <w:jc w:val="both"/>
        <w:rPr>
          <w:rFonts w:ascii="Times New Roman" w:hAnsi="Times New Roman" w:cs="Times New Roman"/>
        </w:rPr>
      </w:pPr>
      <w:r w:rsidRPr="00EF7BCA">
        <w:rPr>
          <w:rFonts w:ascii="Times New Roman" w:hAnsi="Times New Roman" w:cs="Times New Roman"/>
        </w:rPr>
        <w:t>Prioritisation aide</w:t>
      </w:r>
    </w:p>
    <w:p w14:paraId="64EA3B6D" w14:textId="572C6ACE" w:rsidR="002E799E" w:rsidRPr="00EF7BCA" w:rsidRDefault="002E799E" w:rsidP="002E799E">
      <w:pPr>
        <w:pStyle w:val="ListParagraph"/>
        <w:numPr>
          <w:ilvl w:val="0"/>
          <w:numId w:val="11"/>
        </w:numPr>
        <w:jc w:val="both"/>
        <w:rPr>
          <w:rFonts w:ascii="Times New Roman" w:hAnsi="Times New Roman" w:cs="Times New Roman"/>
        </w:rPr>
      </w:pPr>
      <w:r w:rsidRPr="00EF7BCA">
        <w:rPr>
          <w:rFonts w:ascii="Times New Roman" w:hAnsi="Times New Roman" w:cs="Times New Roman"/>
        </w:rPr>
        <w:t>Medicine deprescribing alerts</w:t>
      </w:r>
    </w:p>
    <w:p w14:paraId="149974FA" w14:textId="1BCC8489" w:rsidR="00766FA3" w:rsidRPr="00F10ECA" w:rsidRDefault="00D407EB" w:rsidP="00843193">
      <w:pPr>
        <w:pStyle w:val="ListParagraph"/>
        <w:numPr>
          <w:ilvl w:val="0"/>
          <w:numId w:val="11"/>
        </w:numPr>
        <w:jc w:val="both"/>
        <w:rPr>
          <w:rFonts w:ascii="Times New Roman" w:hAnsi="Times New Roman" w:cs="Times New Roman"/>
          <w:color w:val="000000" w:themeColor="text1"/>
        </w:rPr>
      </w:pPr>
      <w:r w:rsidRPr="00F10ECA">
        <w:rPr>
          <w:rFonts w:ascii="Times New Roman" w:hAnsi="Times New Roman" w:cs="Times New Roman"/>
          <w:color w:val="000000" w:themeColor="text1"/>
        </w:rPr>
        <w:t>B</w:t>
      </w:r>
      <w:r w:rsidR="009668E8" w:rsidRPr="00F10ECA">
        <w:rPr>
          <w:rFonts w:ascii="Times New Roman" w:hAnsi="Times New Roman" w:cs="Times New Roman"/>
          <w:color w:val="000000" w:themeColor="text1"/>
        </w:rPr>
        <w:t>iopsychosocial model</w:t>
      </w:r>
      <w:r w:rsidRPr="00F10ECA">
        <w:rPr>
          <w:rFonts w:ascii="Times New Roman" w:hAnsi="Times New Roman" w:cs="Times New Roman"/>
          <w:color w:val="000000" w:themeColor="text1"/>
        </w:rPr>
        <w:t xml:space="preserve"> of </w:t>
      </w:r>
      <w:r w:rsidR="00F10ECA" w:rsidRPr="00F10ECA">
        <w:rPr>
          <w:rFonts w:ascii="Times New Roman" w:hAnsi="Times New Roman" w:cs="Times New Roman"/>
          <w:color w:val="000000" w:themeColor="text1"/>
        </w:rPr>
        <w:t>medication management</w:t>
      </w:r>
    </w:p>
    <w:p w14:paraId="4AB5CF2E" w14:textId="698221DC" w:rsidR="00766FA3" w:rsidRPr="00EF7BCA" w:rsidRDefault="00766FA3" w:rsidP="00843193">
      <w:pPr>
        <w:pStyle w:val="ListParagraph"/>
        <w:numPr>
          <w:ilvl w:val="0"/>
          <w:numId w:val="11"/>
        </w:numPr>
        <w:jc w:val="both"/>
        <w:rPr>
          <w:rFonts w:ascii="Times New Roman" w:hAnsi="Times New Roman" w:cs="Times New Roman"/>
        </w:rPr>
      </w:pPr>
      <w:r w:rsidRPr="00EF7BCA">
        <w:rPr>
          <w:rFonts w:ascii="Times New Roman" w:hAnsi="Times New Roman" w:cs="Times New Roman"/>
        </w:rPr>
        <w:t>Communication/presentation of risk to patients, hospital staff and community teams</w:t>
      </w:r>
    </w:p>
    <w:p w14:paraId="15CE8A0C" w14:textId="45F75A47" w:rsidR="00766FA3" w:rsidRPr="00EF7BCA" w:rsidRDefault="007714C0" w:rsidP="00843193">
      <w:pPr>
        <w:pStyle w:val="ListParagraph"/>
        <w:numPr>
          <w:ilvl w:val="0"/>
          <w:numId w:val="11"/>
        </w:numPr>
        <w:jc w:val="both"/>
        <w:rPr>
          <w:rFonts w:ascii="Times New Roman" w:hAnsi="Times New Roman" w:cs="Times New Roman"/>
        </w:rPr>
      </w:pPr>
      <w:r>
        <w:rPr>
          <w:rFonts w:ascii="Times New Roman" w:hAnsi="Times New Roman" w:cs="Times New Roman"/>
        </w:rPr>
        <w:t>Streamlining c</w:t>
      </w:r>
      <w:r w:rsidR="00766FA3" w:rsidRPr="00EF7BCA">
        <w:rPr>
          <w:rFonts w:ascii="Times New Roman" w:hAnsi="Times New Roman" w:cs="Times New Roman"/>
        </w:rPr>
        <w:t>ommunity follow</w:t>
      </w:r>
      <w:r w:rsidR="00C36D23">
        <w:rPr>
          <w:rFonts w:ascii="Times New Roman" w:hAnsi="Times New Roman" w:cs="Times New Roman"/>
        </w:rPr>
        <w:t>-</w:t>
      </w:r>
      <w:r w:rsidR="00766FA3" w:rsidRPr="00EF7BCA">
        <w:rPr>
          <w:rFonts w:ascii="Times New Roman" w:hAnsi="Times New Roman" w:cs="Times New Roman"/>
        </w:rPr>
        <w:t xml:space="preserve">up and </w:t>
      </w:r>
      <w:r w:rsidR="00C93325" w:rsidRPr="00EF7BCA">
        <w:rPr>
          <w:rFonts w:ascii="Times New Roman" w:hAnsi="Times New Roman" w:cs="Times New Roman"/>
        </w:rPr>
        <w:t>i</w:t>
      </w:r>
      <w:r w:rsidR="00766FA3" w:rsidRPr="00EF7BCA">
        <w:rPr>
          <w:rFonts w:ascii="Times New Roman" w:hAnsi="Times New Roman" w:cs="Times New Roman"/>
        </w:rPr>
        <w:t>ntegrati</w:t>
      </w:r>
      <w:r>
        <w:rPr>
          <w:rFonts w:ascii="Times New Roman" w:hAnsi="Times New Roman" w:cs="Times New Roman"/>
        </w:rPr>
        <w:t>ng MRH risk discussion</w:t>
      </w:r>
      <w:r w:rsidR="00766FA3" w:rsidRPr="00EF7BCA">
        <w:rPr>
          <w:rFonts w:ascii="Times New Roman" w:hAnsi="Times New Roman" w:cs="Times New Roman"/>
        </w:rPr>
        <w:t xml:space="preserve"> into clinical practice</w:t>
      </w:r>
    </w:p>
    <w:p w14:paraId="2F92B684" w14:textId="1D2D3657" w:rsidR="00766FA3" w:rsidRPr="00EF7BCA" w:rsidRDefault="00766FA3" w:rsidP="00843193">
      <w:pPr>
        <w:pStyle w:val="ListParagraph"/>
        <w:numPr>
          <w:ilvl w:val="0"/>
          <w:numId w:val="11"/>
        </w:numPr>
        <w:jc w:val="both"/>
        <w:rPr>
          <w:rFonts w:ascii="Times New Roman" w:hAnsi="Times New Roman" w:cs="Times New Roman"/>
        </w:rPr>
      </w:pPr>
      <w:r w:rsidRPr="00EF7BCA">
        <w:rPr>
          <w:rFonts w:ascii="Times New Roman" w:hAnsi="Times New Roman" w:cs="Times New Roman"/>
        </w:rPr>
        <w:t>Barriers towards</w:t>
      </w:r>
      <w:r w:rsidR="00EA54F1" w:rsidRPr="00EF7BCA">
        <w:rPr>
          <w:rFonts w:ascii="Times New Roman" w:hAnsi="Times New Roman" w:cs="Times New Roman"/>
        </w:rPr>
        <w:t xml:space="preserve"> clinical</w:t>
      </w:r>
      <w:r w:rsidRPr="00EF7BCA">
        <w:rPr>
          <w:rFonts w:ascii="Times New Roman" w:hAnsi="Times New Roman" w:cs="Times New Roman"/>
        </w:rPr>
        <w:t xml:space="preserve"> integration</w:t>
      </w:r>
    </w:p>
    <w:p w14:paraId="12D5EF9F" w14:textId="01C8A465" w:rsidR="007714C0" w:rsidRPr="007714C0" w:rsidRDefault="00766FA3" w:rsidP="007714C0">
      <w:pPr>
        <w:pStyle w:val="ListParagraph"/>
        <w:numPr>
          <w:ilvl w:val="0"/>
          <w:numId w:val="11"/>
        </w:numPr>
        <w:jc w:val="both"/>
        <w:rPr>
          <w:rFonts w:ascii="Times New Roman" w:hAnsi="Times New Roman" w:cs="Times New Roman"/>
        </w:rPr>
      </w:pPr>
      <w:r w:rsidRPr="00EF7BCA">
        <w:rPr>
          <w:rFonts w:ascii="Times New Roman" w:hAnsi="Times New Roman" w:cs="Times New Roman"/>
        </w:rPr>
        <w:t>Limitations of the risk predictions tool</w:t>
      </w:r>
    </w:p>
    <w:p w14:paraId="6970F8C9" w14:textId="78BDCC36" w:rsidR="00FD2805" w:rsidRPr="00EF7BCA" w:rsidRDefault="00FD2805" w:rsidP="00843193">
      <w:pPr>
        <w:jc w:val="both"/>
        <w:rPr>
          <w:color w:val="FF0000"/>
        </w:rPr>
      </w:pPr>
    </w:p>
    <w:p w14:paraId="4575D556" w14:textId="25F59A07" w:rsidR="00E20144" w:rsidRPr="00EF7BCA" w:rsidRDefault="00E20144" w:rsidP="00843193">
      <w:pPr>
        <w:jc w:val="both"/>
        <w:rPr>
          <w:color w:val="000000" w:themeColor="text1"/>
        </w:rPr>
      </w:pPr>
      <w:r w:rsidRPr="00EF7BCA">
        <w:rPr>
          <w:color w:val="000000" w:themeColor="text1"/>
        </w:rPr>
        <w:t>D</w:t>
      </w:r>
      <w:r w:rsidR="00983616" w:rsidRPr="00EF7BCA">
        <w:rPr>
          <w:color w:val="000000" w:themeColor="text1"/>
        </w:rPr>
        <w:t xml:space="preserve">ata extracts </w:t>
      </w:r>
      <w:r w:rsidRPr="00EF7BCA">
        <w:rPr>
          <w:color w:val="000000" w:themeColor="text1"/>
        </w:rPr>
        <w:t>illustrating</w:t>
      </w:r>
      <w:r w:rsidR="00983616" w:rsidRPr="00EF7BCA">
        <w:rPr>
          <w:color w:val="000000" w:themeColor="text1"/>
        </w:rPr>
        <w:t xml:space="preserve"> each of the seven themes are</w:t>
      </w:r>
      <w:r w:rsidR="00FD2805" w:rsidRPr="00EF7BCA">
        <w:rPr>
          <w:color w:val="000000" w:themeColor="text1"/>
        </w:rPr>
        <w:t xml:space="preserve"> presented in table </w:t>
      </w:r>
      <w:r w:rsidR="00113020">
        <w:rPr>
          <w:color w:val="000000" w:themeColor="text1"/>
        </w:rPr>
        <w:t>2</w:t>
      </w:r>
      <w:r w:rsidR="00FD2805" w:rsidRPr="00EF7BCA">
        <w:rPr>
          <w:color w:val="000000" w:themeColor="text1"/>
        </w:rPr>
        <w:t>.</w:t>
      </w:r>
    </w:p>
    <w:p w14:paraId="3A8A22CA" w14:textId="77777777" w:rsidR="00E20144" w:rsidRPr="00EF7BCA" w:rsidRDefault="00E20144" w:rsidP="00843193">
      <w:pPr>
        <w:jc w:val="both"/>
        <w:rPr>
          <w:color w:val="000000" w:themeColor="text1"/>
          <w:u w:val="single"/>
        </w:rPr>
      </w:pPr>
    </w:p>
    <w:p w14:paraId="36DE0611" w14:textId="54862D71" w:rsidR="00FA6A69" w:rsidRPr="00EF7BCA" w:rsidRDefault="00FA6A69" w:rsidP="00843193">
      <w:pPr>
        <w:jc w:val="both"/>
        <w:rPr>
          <w:color w:val="000000" w:themeColor="text1"/>
          <w:u w:val="single"/>
        </w:rPr>
      </w:pPr>
      <w:r w:rsidRPr="00EF7BCA">
        <w:rPr>
          <w:color w:val="000000" w:themeColor="text1"/>
          <w:u w:val="single"/>
        </w:rPr>
        <w:t>Prioritisation aide</w:t>
      </w:r>
      <w:r w:rsidR="00843193" w:rsidRPr="00EF7BCA">
        <w:rPr>
          <w:color w:val="000000" w:themeColor="text1"/>
          <w:u w:val="single"/>
        </w:rPr>
        <w:t xml:space="preserve"> </w:t>
      </w:r>
    </w:p>
    <w:p w14:paraId="7E9B8CD1" w14:textId="38D301A5" w:rsidR="00FA6A69" w:rsidRPr="00EF7BCA" w:rsidRDefault="00FA6A69" w:rsidP="00843193">
      <w:pPr>
        <w:jc w:val="both"/>
        <w:rPr>
          <w:u w:val="single"/>
        </w:rPr>
      </w:pPr>
    </w:p>
    <w:p w14:paraId="35AB2C26" w14:textId="7F006C03" w:rsidR="004C64E0" w:rsidRPr="00012DBF" w:rsidRDefault="00E812A6" w:rsidP="004C64E0">
      <w:pPr>
        <w:jc w:val="both"/>
        <w:rPr>
          <w:color w:val="000000" w:themeColor="text1"/>
        </w:rPr>
      </w:pPr>
      <w:r>
        <w:t xml:space="preserve">The PRIME-RPT </w:t>
      </w:r>
      <w:r w:rsidR="00B73CFF">
        <w:t xml:space="preserve">provides </w:t>
      </w:r>
      <w:r w:rsidR="00B73CFF" w:rsidRPr="00012DBF">
        <w:rPr>
          <w:color w:val="000000" w:themeColor="text1"/>
        </w:rPr>
        <w:t>stratification of patient</w:t>
      </w:r>
      <w:r w:rsidR="00221209">
        <w:rPr>
          <w:color w:val="000000" w:themeColor="text1"/>
        </w:rPr>
        <w:t>’s MRH</w:t>
      </w:r>
      <w:r w:rsidR="009668E8" w:rsidRPr="00012DBF">
        <w:rPr>
          <w:color w:val="000000" w:themeColor="text1"/>
        </w:rPr>
        <w:t xml:space="preserve"> risk </w:t>
      </w:r>
      <w:r w:rsidR="00B73CFF" w:rsidRPr="00012DBF">
        <w:rPr>
          <w:color w:val="000000" w:themeColor="text1"/>
        </w:rPr>
        <w:t xml:space="preserve">in the </w:t>
      </w:r>
      <w:r w:rsidR="006044C0">
        <w:rPr>
          <w:color w:val="000000" w:themeColor="text1"/>
        </w:rPr>
        <w:t>eight</w:t>
      </w:r>
      <w:r w:rsidR="00B73CFF" w:rsidRPr="00012DBF">
        <w:rPr>
          <w:color w:val="000000" w:themeColor="text1"/>
        </w:rPr>
        <w:t xml:space="preserve">-weeks following </w:t>
      </w:r>
      <w:r w:rsidR="008C4869" w:rsidRPr="00012DBF">
        <w:rPr>
          <w:color w:val="000000" w:themeColor="text1"/>
        </w:rPr>
        <w:t xml:space="preserve">hospital </w:t>
      </w:r>
      <w:r w:rsidR="00B73CFF" w:rsidRPr="00012DBF">
        <w:rPr>
          <w:color w:val="000000" w:themeColor="text1"/>
        </w:rPr>
        <w:t>discharge. Th</w:t>
      </w:r>
      <w:r w:rsidR="009668E8" w:rsidRPr="00012DBF">
        <w:rPr>
          <w:color w:val="000000" w:themeColor="text1"/>
        </w:rPr>
        <w:t>e tool</w:t>
      </w:r>
      <w:r w:rsidR="00B73CFF" w:rsidRPr="00012DBF">
        <w:rPr>
          <w:color w:val="000000" w:themeColor="text1"/>
        </w:rPr>
        <w:t xml:space="preserve"> could </w:t>
      </w:r>
      <w:r w:rsidRPr="00012DBF">
        <w:rPr>
          <w:color w:val="000000" w:themeColor="text1"/>
        </w:rPr>
        <w:t>be used to prioritise high</w:t>
      </w:r>
      <w:r w:rsidR="00763003" w:rsidRPr="00012DBF">
        <w:rPr>
          <w:color w:val="000000" w:themeColor="text1"/>
        </w:rPr>
        <w:t>-</w:t>
      </w:r>
      <w:r w:rsidRPr="00012DBF">
        <w:rPr>
          <w:color w:val="000000" w:themeColor="text1"/>
        </w:rPr>
        <w:t xml:space="preserve">risk patients for targeted interventions such as </w:t>
      </w:r>
      <w:r w:rsidR="00B73CFF" w:rsidRPr="00012DBF">
        <w:rPr>
          <w:color w:val="000000" w:themeColor="text1"/>
        </w:rPr>
        <w:t>medication counselling</w:t>
      </w:r>
      <w:r w:rsidR="00B73CFF" w:rsidRPr="00EF7BCA">
        <w:t>,</w:t>
      </w:r>
      <w:r w:rsidR="00D54CB7">
        <w:t xml:space="preserve"> close </w:t>
      </w:r>
      <w:r w:rsidR="00D54CB7" w:rsidRPr="00012DBF">
        <w:rPr>
          <w:color w:val="000000" w:themeColor="text1"/>
        </w:rPr>
        <w:t>community follow-up or use of compliance aids</w:t>
      </w:r>
      <w:r w:rsidR="00B73CFF" w:rsidRPr="00012DBF">
        <w:rPr>
          <w:color w:val="000000" w:themeColor="text1"/>
        </w:rPr>
        <w:t xml:space="preserve"> to </w:t>
      </w:r>
      <w:r w:rsidR="00763003" w:rsidRPr="00012DBF">
        <w:rPr>
          <w:color w:val="000000" w:themeColor="text1"/>
        </w:rPr>
        <w:t>reduce</w:t>
      </w:r>
      <w:r w:rsidR="00B73CFF" w:rsidRPr="00012DBF">
        <w:rPr>
          <w:color w:val="000000" w:themeColor="text1"/>
        </w:rPr>
        <w:t xml:space="preserve"> risk.</w:t>
      </w:r>
      <w:r w:rsidR="008C4869" w:rsidRPr="00012DBF">
        <w:rPr>
          <w:color w:val="000000" w:themeColor="text1"/>
        </w:rPr>
        <w:t xml:space="preserve"> </w:t>
      </w:r>
      <w:r w:rsidR="004C64E0" w:rsidRPr="00012DBF">
        <w:rPr>
          <w:color w:val="000000" w:themeColor="text1"/>
        </w:rPr>
        <w:t xml:space="preserve">Pharmacists highlighted that their workload is </w:t>
      </w:r>
      <w:r w:rsidR="009668E8" w:rsidRPr="00012DBF">
        <w:rPr>
          <w:color w:val="000000" w:themeColor="text1"/>
        </w:rPr>
        <w:t>substantial</w:t>
      </w:r>
      <w:r w:rsidR="00D54CB7" w:rsidRPr="00012DBF">
        <w:rPr>
          <w:color w:val="000000" w:themeColor="text1"/>
        </w:rPr>
        <w:t xml:space="preserve"> and</w:t>
      </w:r>
      <w:r w:rsidR="004C64E0" w:rsidRPr="00012DBF">
        <w:rPr>
          <w:color w:val="000000" w:themeColor="text1"/>
        </w:rPr>
        <w:t xml:space="preserve"> welcomed a prioritisation aide.</w:t>
      </w:r>
    </w:p>
    <w:p w14:paraId="1E3BCDCE" w14:textId="6FB89491" w:rsidR="00B8099E" w:rsidRPr="00012DBF" w:rsidRDefault="00B8099E" w:rsidP="00843193">
      <w:pPr>
        <w:jc w:val="both"/>
        <w:rPr>
          <w:color w:val="000000" w:themeColor="text1"/>
        </w:rPr>
      </w:pPr>
    </w:p>
    <w:p w14:paraId="7BC7095B" w14:textId="77777777" w:rsidR="00051413" w:rsidRDefault="00051413" w:rsidP="00B8099E">
      <w:pPr>
        <w:jc w:val="both"/>
      </w:pPr>
      <w:r>
        <w:t>Pharmacist 1:</w:t>
      </w:r>
      <w:r w:rsidR="009865FF" w:rsidRPr="00EF7BCA">
        <w:t xml:space="preserve"> </w:t>
      </w:r>
      <w:r w:rsidR="009865FF" w:rsidRPr="00EF7BCA">
        <w:rPr>
          <w:i/>
          <w:iCs/>
        </w:rPr>
        <w:t>“</w:t>
      </w:r>
      <w:r>
        <w:rPr>
          <w:i/>
          <w:iCs/>
        </w:rPr>
        <w:t xml:space="preserve">The </w:t>
      </w:r>
      <w:r w:rsidR="009865FF" w:rsidRPr="00EF7BCA">
        <w:rPr>
          <w:i/>
          <w:iCs/>
        </w:rPr>
        <w:t xml:space="preserve">tool </w:t>
      </w:r>
      <w:r>
        <w:rPr>
          <w:i/>
          <w:iCs/>
        </w:rPr>
        <w:t>can</w:t>
      </w:r>
      <w:r w:rsidR="009865FF" w:rsidRPr="00EF7BCA">
        <w:rPr>
          <w:i/>
          <w:iCs/>
        </w:rPr>
        <w:t xml:space="preserve"> help prioritise patients. The positive is that you can focus on the </w:t>
      </w:r>
      <w:proofErr w:type="gramStart"/>
      <w:r w:rsidR="009865FF" w:rsidRPr="00EF7BCA">
        <w:rPr>
          <w:i/>
          <w:iCs/>
        </w:rPr>
        <w:t>really high-risk</w:t>
      </w:r>
      <w:proofErr w:type="gramEnd"/>
      <w:r w:rsidR="009865FF" w:rsidRPr="00EF7BCA">
        <w:rPr>
          <w:i/>
          <w:iCs/>
        </w:rPr>
        <w:t xml:space="preserve"> patients.”</w:t>
      </w:r>
      <w:r w:rsidR="00B8099E" w:rsidRPr="00EF7BCA">
        <w:t xml:space="preserve"> </w:t>
      </w:r>
    </w:p>
    <w:p w14:paraId="10F3B5F7" w14:textId="70987295" w:rsidR="002F3E16" w:rsidRDefault="002F3E16" w:rsidP="00B8099E">
      <w:pPr>
        <w:jc w:val="both"/>
        <w:rPr>
          <w:i/>
          <w:iCs/>
        </w:rPr>
      </w:pPr>
    </w:p>
    <w:p w14:paraId="2370C4A1" w14:textId="5FA38EA2" w:rsidR="002F3E16" w:rsidRPr="004C64E0" w:rsidRDefault="002F3E16" w:rsidP="00B8099E">
      <w:pPr>
        <w:jc w:val="both"/>
      </w:pPr>
      <w:r>
        <w:t xml:space="preserve">Whilst there </w:t>
      </w:r>
      <w:r w:rsidRPr="00012DBF">
        <w:rPr>
          <w:color w:val="000000" w:themeColor="text1"/>
        </w:rPr>
        <w:t xml:space="preserve">is no formal definition for the cut off for </w:t>
      </w:r>
      <w:r w:rsidR="00B547FA" w:rsidRPr="00012DBF">
        <w:rPr>
          <w:color w:val="000000" w:themeColor="text1"/>
        </w:rPr>
        <w:t>‘</w:t>
      </w:r>
      <w:r w:rsidRPr="00012DBF">
        <w:rPr>
          <w:color w:val="000000" w:themeColor="text1"/>
        </w:rPr>
        <w:t>high</w:t>
      </w:r>
      <w:r w:rsidR="00763003" w:rsidRPr="00012DBF">
        <w:rPr>
          <w:color w:val="000000" w:themeColor="text1"/>
        </w:rPr>
        <w:t>-</w:t>
      </w:r>
      <w:r w:rsidRPr="00012DBF">
        <w:rPr>
          <w:color w:val="000000" w:themeColor="text1"/>
        </w:rPr>
        <w:t>risk</w:t>
      </w:r>
      <w:r w:rsidR="00B547FA" w:rsidRPr="00012DBF">
        <w:rPr>
          <w:color w:val="000000" w:themeColor="text1"/>
        </w:rPr>
        <w:t>’</w:t>
      </w:r>
      <w:r w:rsidRPr="00012DBF">
        <w:rPr>
          <w:color w:val="000000" w:themeColor="text1"/>
        </w:rPr>
        <w:t xml:space="preserve"> provided for the PRIME-RPT, th</w:t>
      </w:r>
      <w:r w:rsidR="009668E8" w:rsidRPr="00012DBF">
        <w:rPr>
          <w:color w:val="000000" w:themeColor="text1"/>
        </w:rPr>
        <w:t>e</w:t>
      </w:r>
      <w:r w:rsidRPr="00012DBF">
        <w:rPr>
          <w:color w:val="000000" w:themeColor="text1"/>
        </w:rPr>
        <w:t xml:space="preserve"> absolute risk </w:t>
      </w:r>
      <w:r w:rsidR="009668E8" w:rsidRPr="00012DBF">
        <w:rPr>
          <w:color w:val="000000" w:themeColor="text1"/>
        </w:rPr>
        <w:t xml:space="preserve">presented as a numerical score </w:t>
      </w:r>
      <w:r w:rsidRPr="00012DBF">
        <w:rPr>
          <w:color w:val="000000" w:themeColor="text1"/>
        </w:rPr>
        <w:t>allows referral for follow</w:t>
      </w:r>
      <w:r w:rsidR="00763003" w:rsidRPr="00012DBF">
        <w:rPr>
          <w:color w:val="000000" w:themeColor="text1"/>
        </w:rPr>
        <w:t>-</w:t>
      </w:r>
      <w:r w:rsidRPr="00012DBF">
        <w:rPr>
          <w:color w:val="000000" w:themeColor="text1"/>
        </w:rPr>
        <w:t xml:space="preserve">up based on </w:t>
      </w:r>
      <w:r w:rsidR="009668E8" w:rsidRPr="00012DBF">
        <w:rPr>
          <w:color w:val="000000" w:themeColor="text1"/>
        </w:rPr>
        <w:t xml:space="preserve">the </w:t>
      </w:r>
      <w:r w:rsidR="00C272DE" w:rsidRPr="00012DBF">
        <w:rPr>
          <w:color w:val="000000" w:themeColor="text1"/>
        </w:rPr>
        <w:t xml:space="preserve">value of the </w:t>
      </w:r>
      <w:r w:rsidRPr="00012DBF">
        <w:rPr>
          <w:color w:val="000000" w:themeColor="text1"/>
        </w:rPr>
        <w:t>risk score.</w:t>
      </w:r>
    </w:p>
    <w:p w14:paraId="2878A1A5" w14:textId="77777777" w:rsidR="00FA6A69" w:rsidRPr="00EF7BCA" w:rsidRDefault="00FA6A69" w:rsidP="00843193">
      <w:pPr>
        <w:jc w:val="both"/>
      </w:pPr>
    </w:p>
    <w:p w14:paraId="39F1A942" w14:textId="195F903E" w:rsidR="00D33EEE" w:rsidRDefault="00FD6ACB" w:rsidP="00D81DDE">
      <w:pPr>
        <w:jc w:val="both"/>
        <w:rPr>
          <w:color w:val="000000" w:themeColor="text1"/>
          <w:u w:val="single"/>
        </w:rPr>
      </w:pPr>
      <w:r w:rsidRPr="00EF7BCA">
        <w:rPr>
          <w:color w:val="000000" w:themeColor="text1"/>
          <w:u w:val="single"/>
        </w:rPr>
        <w:t xml:space="preserve">Medicine </w:t>
      </w:r>
      <w:r w:rsidR="00814B38" w:rsidRPr="00EF7BCA">
        <w:rPr>
          <w:color w:val="000000" w:themeColor="text1"/>
          <w:u w:val="single"/>
        </w:rPr>
        <w:t xml:space="preserve">deprescribing alerts </w:t>
      </w:r>
    </w:p>
    <w:p w14:paraId="022D5CB0" w14:textId="77777777" w:rsidR="00D33EEE" w:rsidRPr="00D33EEE" w:rsidRDefault="00D33EEE" w:rsidP="00D81DDE">
      <w:pPr>
        <w:jc w:val="both"/>
        <w:rPr>
          <w:color w:val="000000" w:themeColor="text1"/>
          <w:u w:val="single"/>
        </w:rPr>
      </w:pPr>
    </w:p>
    <w:p w14:paraId="22D15FBC" w14:textId="173AE55F" w:rsidR="00111B84" w:rsidRDefault="00BE386F" w:rsidP="00111B84">
      <w:pPr>
        <w:jc w:val="both"/>
        <w:rPr>
          <w:color w:val="000000" w:themeColor="text1"/>
        </w:rPr>
      </w:pPr>
      <w:r w:rsidRPr="00EF7BCA">
        <w:rPr>
          <w:color w:val="000000" w:themeColor="text1"/>
        </w:rPr>
        <w:t xml:space="preserve">The total number of drugs a patient is prescribed is an important determinant of </w:t>
      </w:r>
      <w:r w:rsidRPr="003A69DF">
        <w:rPr>
          <w:color w:val="000000" w:themeColor="text1"/>
        </w:rPr>
        <w:t xml:space="preserve">MRH </w:t>
      </w:r>
      <w:r w:rsidR="002E799E" w:rsidRPr="003A69DF">
        <w:rPr>
          <w:color w:val="000000" w:themeColor="text1"/>
        </w:rPr>
        <w:t xml:space="preserve">risk </w:t>
      </w:r>
      <w:r w:rsidRPr="003A69DF">
        <w:rPr>
          <w:color w:val="000000" w:themeColor="text1"/>
        </w:rPr>
        <w:t xml:space="preserve">according to the PRIME-RPT. </w:t>
      </w:r>
      <w:r w:rsidR="00E32F46" w:rsidRPr="003A69DF">
        <w:rPr>
          <w:color w:val="000000" w:themeColor="text1"/>
        </w:rPr>
        <w:t>‘</w:t>
      </w:r>
      <w:r w:rsidR="002E799E" w:rsidRPr="003A69DF">
        <w:rPr>
          <w:color w:val="000000" w:themeColor="text1"/>
        </w:rPr>
        <w:t>Th</w:t>
      </w:r>
      <w:r w:rsidR="00E32F46" w:rsidRPr="003A69DF">
        <w:rPr>
          <w:color w:val="000000" w:themeColor="text1"/>
        </w:rPr>
        <w:t>e number of drugs alert’</w:t>
      </w:r>
      <w:r w:rsidR="002E799E" w:rsidRPr="003A69DF">
        <w:rPr>
          <w:color w:val="000000" w:themeColor="text1"/>
        </w:rPr>
        <w:t xml:space="preserve"> within the </w:t>
      </w:r>
      <w:r w:rsidR="00C272DE" w:rsidRPr="003A69DF">
        <w:rPr>
          <w:color w:val="000000" w:themeColor="text1"/>
        </w:rPr>
        <w:t>PRIME-RPT</w:t>
      </w:r>
      <w:r w:rsidR="002E799E" w:rsidRPr="003A69DF">
        <w:rPr>
          <w:color w:val="000000" w:themeColor="text1"/>
        </w:rPr>
        <w:t xml:space="preserve"> reminded ward pharmacists to</w:t>
      </w:r>
      <w:r w:rsidR="00E32F46" w:rsidRPr="003A69DF">
        <w:rPr>
          <w:color w:val="000000" w:themeColor="text1"/>
        </w:rPr>
        <w:t xml:space="preserve"> target </w:t>
      </w:r>
      <w:r w:rsidR="002E799E" w:rsidRPr="003A69DF">
        <w:rPr>
          <w:color w:val="000000" w:themeColor="text1"/>
        </w:rPr>
        <w:t>discharged patients with polypharmacy</w:t>
      </w:r>
      <w:r w:rsidR="001D574E">
        <w:rPr>
          <w:color w:val="000000" w:themeColor="text1"/>
        </w:rPr>
        <w:t xml:space="preserve"> and potential medication interactions</w:t>
      </w:r>
      <w:r w:rsidR="002E799E" w:rsidRPr="003A69DF">
        <w:rPr>
          <w:color w:val="000000" w:themeColor="text1"/>
        </w:rPr>
        <w:t xml:space="preserve">. </w:t>
      </w:r>
      <w:r w:rsidR="00D86177" w:rsidRPr="003A69DF">
        <w:rPr>
          <w:color w:val="000000" w:themeColor="text1"/>
        </w:rPr>
        <w:t>T</w:t>
      </w:r>
      <w:r w:rsidR="002E799E" w:rsidRPr="003A69DF">
        <w:rPr>
          <w:color w:val="000000" w:themeColor="text1"/>
        </w:rPr>
        <w:t xml:space="preserve">he RPT could act as an aide memoire for junior pharmacists to review indications for medications and </w:t>
      </w:r>
      <w:r w:rsidR="00C272DE" w:rsidRPr="003A69DF">
        <w:rPr>
          <w:color w:val="000000" w:themeColor="text1"/>
        </w:rPr>
        <w:t>r</w:t>
      </w:r>
      <w:r w:rsidR="002E799E" w:rsidRPr="003A69DF">
        <w:rPr>
          <w:color w:val="000000" w:themeColor="text1"/>
        </w:rPr>
        <w:t xml:space="preserve">educe </w:t>
      </w:r>
      <w:r w:rsidR="00C272DE" w:rsidRPr="003A69DF">
        <w:rPr>
          <w:color w:val="000000" w:themeColor="text1"/>
        </w:rPr>
        <w:t>potential M</w:t>
      </w:r>
      <w:r w:rsidR="002E799E" w:rsidRPr="003A69DF">
        <w:rPr>
          <w:color w:val="000000" w:themeColor="text1"/>
        </w:rPr>
        <w:t>RH risk by deprescribing.</w:t>
      </w:r>
    </w:p>
    <w:p w14:paraId="497E36F1" w14:textId="77777777" w:rsidR="00505190" w:rsidRPr="00296397" w:rsidRDefault="00505190" w:rsidP="00111B84">
      <w:pPr>
        <w:jc w:val="both"/>
        <w:rPr>
          <w:color w:val="000000" w:themeColor="text1"/>
        </w:rPr>
      </w:pPr>
    </w:p>
    <w:p w14:paraId="5886AADB" w14:textId="3B7F7C68" w:rsidR="00111B84" w:rsidRPr="0017036E" w:rsidRDefault="00111B84" w:rsidP="00111B84">
      <w:pPr>
        <w:jc w:val="both"/>
        <w:rPr>
          <w:i/>
          <w:iCs/>
        </w:rPr>
      </w:pPr>
      <w:r w:rsidRPr="00111B84">
        <w:rPr>
          <w:color w:val="000000" w:themeColor="text1"/>
        </w:rPr>
        <w:t>Pharmacist 10:</w:t>
      </w:r>
      <w:r>
        <w:rPr>
          <w:color w:val="000000" w:themeColor="text1"/>
        </w:rPr>
        <w:t xml:space="preserve"> </w:t>
      </w:r>
      <w:r w:rsidR="00F21DD5" w:rsidRPr="00F21DD5">
        <w:rPr>
          <w:i/>
          <w:iCs/>
          <w:color w:val="000000" w:themeColor="text1"/>
        </w:rPr>
        <w:t>“</w:t>
      </w:r>
      <w:r w:rsidR="00F21DD5" w:rsidRPr="00F21DD5">
        <w:rPr>
          <w:i/>
          <w:iCs/>
        </w:rPr>
        <w:t>This lady has</w:t>
      </w:r>
      <w:r w:rsidRPr="00F21DD5">
        <w:rPr>
          <w:i/>
          <w:iCs/>
        </w:rPr>
        <w:t xml:space="preserve"> got low sodium. What is she on amitriptyline for? </w:t>
      </w:r>
      <w:r w:rsidR="00F21DD5" w:rsidRPr="00F21DD5">
        <w:rPr>
          <w:i/>
          <w:iCs/>
        </w:rPr>
        <w:t xml:space="preserve">It isn’t clear and she is a classic case of </w:t>
      </w:r>
      <w:r w:rsidRPr="00F21DD5">
        <w:rPr>
          <w:i/>
          <w:iCs/>
        </w:rPr>
        <w:t xml:space="preserve">polypharmacy, essentially. </w:t>
      </w:r>
      <w:r w:rsidR="00F21DD5" w:rsidRPr="00F21DD5">
        <w:rPr>
          <w:i/>
          <w:iCs/>
        </w:rPr>
        <w:t xml:space="preserve">We could </w:t>
      </w:r>
      <w:r w:rsidRPr="00F21DD5">
        <w:rPr>
          <w:i/>
          <w:iCs/>
        </w:rPr>
        <w:t>deprescribe some of these med</w:t>
      </w:r>
      <w:r w:rsidR="00F21DD5" w:rsidRPr="00F21DD5">
        <w:rPr>
          <w:i/>
          <w:iCs/>
        </w:rPr>
        <w:t>ications after investigating the indications and if they are still essential.”</w:t>
      </w:r>
    </w:p>
    <w:p w14:paraId="2878F2A2" w14:textId="43010299" w:rsidR="00551235" w:rsidRPr="00EF7BCA" w:rsidRDefault="00551235" w:rsidP="00843193">
      <w:pPr>
        <w:jc w:val="both"/>
      </w:pPr>
    </w:p>
    <w:p w14:paraId="54C6B060" w14:textId="5A6718EA" w:rsidR="00F10ECA" w:rsidRPr="00F10ECA" w:rsidRDefault="00F10ECA" w:rsidP="00F10ECA">
      <w:pPr>
        <w:jc w:val="both"/>
        <w:rPr>
          <w:color w:val="000000" w:themeColor="text1"/>
          <w:u w:val="single"/>
        </w:rPr>
      </w:pPr>
      <w:r w:rsidRPr="00F10ECA">
        <w:rPr>
          <w:color w:val="000000" w:themeColor="text1"/>
          <w:u w:val="single"/>
        </w:rPr>
        <w:t>Biopsychosocial model of medication management</w:t>
      </w:r>
    </w:p>
    <w:p w14:paraId="33175E86" w14:textId="77777777" w:rsidR="0058153B" w:rsidRPr="00F10ECA" w:rsidRDefault="0058153B" w:rsidP="00843193">
      <w:pPr>
        <w:jc w:val="both"/>
        <w:rPr>
          <w:color w:val="000000" w:themeColor="text1"/>
          <w:u w:val="single"/>
        </w:rPr>
      </w:pPr>
    </w:p>
    <w:p w14:paraId="776D4251" w14:textId="7001848C" w:rsidR="00FF0E87" w:rsidRPr="004E408C" w:rsidRDefault="00C13875" w:rsidP="00843193">
      <w:pPr>
        <w:jc w:val="both"/>
        <w:rPr>
          <w:bCs/>
          <w:color w:val="FF0000"/>
        </w:rPr>
      </w:pPr>
      <w:r w:rsidRPr="00EF7BCA">
        <w:rPr>
          <w:color w:val="000000" w:themeColor="text1"/>
        </w:rPr>
        <w:lastRenderedPageBreak/>
        <w:t xml:space="preserve">People who live alone are more likely to </w:t>
      </w:r>
      <w:r w:rsidR="00100814">
        <w:rPr>
          <w:color w:val="000000" w:themeColor="text1"/>
        </w:rPr>
        <w:t>experience</w:t>
      </w:r>
      <w:r w:rsidRPr="00EF7BCA">
        <w:rPr>
          <w:color w:val="000000" w:themeColor="text1"/>
        </w:rPr>
        <w:t xml:space="preserve"> MRH and </w:t>
      </w:r>
      <w:r w:rsidR="00103934" w:rsidRPr="00EF7BCA">
        <w:rPr>
          <w:color w:val="000000" w:themeColor="text1"/>
        </w:rPr>
        <w:t xml:space="preserve">this </w:t>
      </w:r>
      <w:r w:rsidRPr="00EF7BCA">
        <w:rPr>
          <w:color w:val="000000" w:themeColor="text1"/>
        </w:rPr>
        <w:t>is reflected in the PRIME</w:t>
      </w:r>
      <w:r w:rsidR="00AD1E89">
        <w:rPr>
          <w:color w:val="000000" w:themeColor="text1"/>
        </w:rPr>
        <w:t>-</w:t>
      </w:r>
      <w:r w:rsidRPr="00EF7BCA">
        <w:rPr>
          <w:color w:val="000000" w:themeColor="text1"/>
        </w:rPr>
        <w:t xml:space="preserve">RPT </w:t>
      </w:r>
      <w:r w:rsidRPr="00EF7BCA">
        <w:rPr>
          <w:color w:val="000000" w:themeColor="text1"/>
        </w:rPr>
        <w:fldChar w:fldCharType="begin" w:fldLock="1"/>
      </w:r>
      <w:r w:rsidR="003D6AB7">
        <w:rPr>
          <w:color w:val="000000" w:themeColor="text1"/>
        </w:rPr>
        <w:instrText>ADDIN CSL_CITATION {"citationItems":[{"id":"ITEM-1","itemData":{"DOI":"10.1136/bmjqs-2019-009587","ISSN":"20445415","PMID":"31527053","abstract":"Objectives To develop and validate a tool to predict the risk of an older adult experiencing medication-related harm (MRH) requiring healthcare use following hospital discharge. Design, setting, participants Multicentre, prospective cohort study recruiting older adults (≥65 years) discharged from five UK teaching hospitals between 2013 and 2015. Primary outcome measure Participants were followed up for 8 weeks in the community by senior pharmacists to identify MRH (adverse drug reactions, harm from non-adherence, harm from medication error). Three data sources provided MRH and healthcare use information: Hospital readmissions, primary care use, participant telephone interview. Candidate variables for prognostic modelling were selected using two systematic reviews, the views of patients with MRH and an expert panel of clinicians. Multivariable logistic regression with backward elimination, based on the Akaike Information Criterion, was used to develop the PRIME tool. The tool was internally validated. Results 1116 out of 1280 recruited participants completed follow-up (87%). Uncertain MRH cases (â 'possible' and 'aprobable') were excluded, leaving a tool derivation cohort of 818. 119 (15%) participants experienced 'definite' MRH requiring healthcare use and 699 participants did not. Modelling resulted in a prediction tool with eight variables measured at hospital discharge: Age, gender, antiplatelet drug, sodium level, antidiabetic drug, past adverse drug reaction, number of medicines, living alone. The tool's discrimination C-statistic was 0.69 (0.66 after validation) and showed good calibration. Decision curve analysis demonstrated the potential value of the tool to guide clinical decision making compared with alternative approaches. Conclusions The PRIME tool could be used to identify older patients at high risk of MRH requiring healthcare use following hospital discharge. Prior to clinical use we recommend the tool's evaluation in other settings.","author":[{"dropping-particle":"","family":"Parekh","given":"Nikesh","non-dropping-particle":"","parse-names":false,"suffix":""},{"dropping-particle":"","family":"Ali","given":"Khalid","non-dropping-particle":"","parse-names":false,"suffix":""},{"dropping-particle":"","family":"Davies","given":"John Graham","non-dropping-particle":"","parse-names":false,"suffix":""},{"dropping-particle":"","family":"Stevenson","given":"Jennifer M.","non-dropping-particle":"","parse-names":false,"suffix":""},{"dropping-particle":"","family":"Banya","given":"Winston","non-dropping-particle":"","parse-names":false,"suffix":""},{"dropping-particle":"","family":"Nyangoma","given":"Stephen","non-dropping-particle":"","parse-names":false,"suffix":""},{"dropping-particle":"","family":"Schiff","given":"Rebekah","non-dropping-particle":"","parse-names":false,"suffix":""},{"dropping-particle":"","family":"Cammen","given":"Tischa","non-dropping-particle":"Van Der","parse-names":false,"suffix":""},{"dropping-particle":"","family":"Harchowal","given":"Jatinder","non-dropping-particle":"","parse-names":false,"suffix":""},{"dropping-particle":"","family":"Rajkumar","given":"Chakravarthi","non-dropping-particle":"","parse-names":false,"suffix":""}],"container-title":"BMJ Quality and Safety","id":"ITEM-1","issue":"2","issued":{"date-parts":[["2020","2","1"]]},"page":"142-153","publisher":"BMJ Publishing Group","title":"Medication-related harm in older adults following hospital discharge: Development and validation of a prediction tool","type":"article-journal","volume":"29"},"uris":["http://www.mendeley.com/documents/?uuid=2db1f004-c319-36c0-b6e7-84a9de887ec6"]}],"mendeley":{"formattedCitation":"(7)","plainTextFormattedCitation":"(7)","previouslyFormattedCitation":"(7)"},"properties":{"noteIndex":0},"schema":"https://github.com/citation-style-language/schema/raw/master/csl-citation.json"}</w:instrText>
      </w:r>
      <w:r w:rsidRPr="00EF7BCA">
        <w:rPr>
          <w:color w:val="000000" w:themeColor="text1"/>
        </w:rPr>
        <w:fldChar w:fldCharType="separate"/>
      </w:r>
      <w:r w:rsidR="000F1B04" w:rsidRPr="000F1B04">
        <w:rPr>
          <w:noProof/>
          <w:color w:val="000000" w:themeColor="text1"/>
        </w:rPr>
        <w:t>(7)</w:t>
      </w:r>
      <w:r w:rsidRPr="00EF7BCA">
        <w:rPr>
          <w:color w:val="000000" w:themeColor="text1"/>
        </w:rPr>
        <w:fldChar w:fldCharType="end"/>
      </w:r>
      <w:r w:rsidRPr="00EF7BCA">
        <w:rPr>
          <w:color w:val="000000" w:themeColor="text1"/>
        </w:rPr>
        <w:t>.</w:t>
      </w:r>
      <w:r w:rsidR="00A94573">
        <w:rPr>
          <w:color w:val="000000" w:themeColor="text1"/>
        </w:rPr>
        <w:t xml:space="preserve"> </w:t>
      </w:r>
      <w:r w:rsidR="00FF0E87">
        <w:rPr>
          <w:color w:val="000000" w:themeColor="text1"/>
        </w:rPr>
        <w:t xml:space="preserve">The relationship between living alone and risk of MRH is complex but </w:t>
      </w:r>
      <w:r w:rsidR="00FF0E87" w:rsidRPr="003A69DF">
        <w:rPr>
          <w:color w:val="000000" w:themeColor="text1"/>
        </w:rPr>
        <w:t>partially driven by poor medication adherence</w:t>
      </w:r>
      <w:r w:rsidR="00AD4240" w:rsidRPr="003A69DF">
        <w:rPr>
          <w:color w:val="000000" w:themeColor="text1"/>
        </w:rPr>
        <w:t xml:space="preserve"> </w:t>
      </w:r>
      <w:r w:rsidR="00AD4240" w:rsidRPr="003A69DF">
        <w:rPr>
          <w:color w:val="000000" w:themeColor="text1"/>
        </w:rPr>
        <w:fldChar w:fldCharType="begin" w:fldLock="1"/>
      </w:r>
      <w:r w:rsidR="00A67EF4">
        <w:rPr>
          <w:color w:val="000000" w:themeColor="text1"/>
        </w:rPr>
        <w:instrText>ADDIN CSL_CITATION {"citationItems":[{"id":"ITEM-1","itemData":{"DOI":"10.2147/PPA.S151263","ISSN":"1177889X","PMID":"29416319","abstract":"Purpose: The aim of this study was to assess medication adherence and its related factors among elderly people living alone with chronic diseases using a conceptual framework with the Belief about Medicines Questionnaire and the Adherence to Refills and Medication Scale-Korean version. Participants and methods: This was a cross-sectional study conducted in 3,326 elderly people living alone, who were enrolled in Seongnam Center for Home Health Care in South Korea. They completed validated questionnaires assessing their adherence and beliefs about medication in general. Results: In attitudinal analysis using Belief about Medicines Questionnaire, 37.0% of patients were accepting of medication (high necessity with low concerns), 49.7% were ambivalent (high necessity with high concerns), 1.9% were skeptical (low necessity with high concerns), and 11.4% were indifferent (low necessity and low concerns). In multivariable analysis, we found that adherence was related to patients’ beliefs about medication; compared with patients who were accepting of medication, those in the other three attitudinal groups had significantly lower adherence (indifferent, p=0.003; skeptical, p=0.001; ambivalent, p˂0.001). Also, low adherence was associated with heavy burden of drug costs (β=0.109; 95% CI 0.03, 0.19), presence of drug side effects (β=0.431; 95% CI 0.11, 0.75), dissatisfaction with medication (β=-0.626; 95% CI -0.77, -0.48), perceiving health status as poor (β=-0.151; 95% CI -0.27, -0.03), and receiving medical aid (β=0.655; 95% CI 0.42, 0.89). Gender, age group, and number of prescribed medication were not associated with medication adherence. Conclusion: To improve medication adherence of elderly living alone, it is essential to identify barriers to adherence, including their concerns and attitudes toward medications. These factors associated with adherence should be considered in further intervention studies.","author":[{"dropping-particle":"","family":"Park","given":"Hwa Yeon","non-dropping-particle":"","parse-names":false,"suffix":""},{"dropping-particle":"","family":"Seo","given":"Sin Ae","non-dropping-particle":"","parse-names":false,"suffix":""},{"dropping-particle":"","family":"Yoo","given":"Hyeyoung","non-dropping-particle":"","parse-names":false,"suffix":""},{"dropping-particle":"","family":"Lee","given":"Kiheon","non-dropping-particle":"","parse-names":false,"suffix":""}],"container-title":"Patient Preference and Adherence","id":"ITEM-1","issued":{"date-parts":[["2018"]]},"page":"175-181","publisher":"Patient Prefer Adherence","title":"Medication adherence and beliefs about medication in elderly patients living alone with chronic diseases","type":"article-journal","volume":"12"},"uris":["http://www.mendeley.com/documents/?uuid=4bef3f6f-ecb8-3dd7-8ca2-f0285e375702"]}],"mendeley":{"formattedCitation":"(14)","plainTextFormattedCitation":"(14)","previouslyFormattedCitation":"(14)"},"properties":{"noteIndex":0},"schema":"https://github.com/citation-style-language/schema/raw/master/csl-citation.json"}</w:instrText>
      </w:r>
      <w:r w:rsidR="00AD4240" w:rsidRPr="003A69DF">
        <w:rPr>
          <w:color w:val="000000" w:themeColor="text1"/>
        </w:rPr>
        <w:fldChar w:fldCharType="separate"/>
      </w:r>
      <w:r w:rsidR="00923585" w:rsidRPr="00923585">
        <w:rPr>
          <w:noProof/>
          <w:color w:val="000000" w:themeColor="text1"/>
        </w:rPr>
        <w:t>(14)</w:t>
      </w:r>
      <w:r w:rsidR="00AD4240" w:rsidRPr="003A69DF">
        <w:rPr>
          <w:color w:val="000000" w:themeColor="text1"/>
        </w:rPr>
        <w:fldChar w:fldCharType="end"/>
      </w:r>
      <w:r w:rsidR="00641E55" w:rsidRPr="003A69DF">
        <w:rPr>
          <w:color w:val="000000" w:themeColor="text1"/>
        </w:rPr>
        <w:t>.</w:t>
      </w:r>
      <w:r w:rsidR="00C272DE" w:rsidRPr="003A69DF">
        <w:rPr>
          <w:color w:val="000000" w:themeColor="text1"/>
        </w:rPr>
        <w:t xml:space="preserve"> Knowledge of patients’ living conditions can</w:t>
      </w:r>
      <w:r w:rsidR="00383A90" w:rsidRPr="003A69DF">
        <w:rPr>
          <w:color w:val="000000" w:themeColor="text1"/>
        </w:rPr>
        <w:t xml:space="preserve"> be</w:t>
      </w:r>
      <w:r w:rsidR="00C272DE" w:rsidRPr="003A69DF">
        <w:rPr>
          <w:color w:val="000000" w:themeColor="text1"/>
        </w:rPr>
        <w:t xml:space="preserve"> a trigger for</w:t>
      </w:r>
      <w:r w:rsidR="00641E55" w:rsidRPr="003A69DF">
        <w:rPr>
          <w:color w:val="000000" w:themeColor="text1"/>
        </w:rPr>
        <w:t xml:space="preserve"> pharmacists </w:t>
      </w:r>
      <w:r w:rsidR="001E7344" w:rsidRPr="003A69DF">
        <w:rPr>
          <w:color w:val="000000" w:themeColor="text1"/>
        </w:rPr>
        <w:t xml:space="preserve">to </w:t>
      </w:r>
      <w:r w:rsidR="00F17553">
        <w:rPr>
          <w:color w:val="000000" w:themeColor="text1"/>
        </w:rPr>
        <w:t xml:space="preserve">more holistically </w:t>
      </w:r>
      <w:r w:rsidR="00641E55" w:rsidRPr="003A69DF">
        <w:rPr>
          <w:color w:val="000000" w:themeColor="text1"/>
        </w:rPr>
        <w:t xml:space="preserve">explore </w:t>
      </w:r>
      <w:r w:rsidR="00383A90" w:rsidRPr="003A69DF">
        <w:rPr>
          <w:color w:val="000000" w:themeColor="text1"/>
        </w:rPr>
        <w:t xml:space="preserve">how </w:t>
      </w:r>
      <w:r w:rsidR="000C7FDB" w:rsidRPr="003A69DF">
        <w:rPr>
          <w:color w:val="000000" w:themeColor="text1"/>
        </w:rPr>
        <w:t>patients</w:t>
      </w:r>
      <w:r w:rsidR="00383A90" w:rsidRPr="003A69DF">
        <w:rPr>
          <w:color w:val="000000" w:themeColor="text1"/>
        </w:rPr>
        <w:t xml:space="preserve"> </w:t>
      </w:r>
      <w:r w:rsidR="00A71B76">
        <w:rPr>
          <w:color w:val="000000" w:themeColor="text1"/>
        </w:rPr>
        <w:t xml:space="preserve">manage </w:t>
      </w:r>
      <w:r w:rsidR="00383A90" w:rsidRPr="003A69DF">
        <w:rPr>
          <w:color w:val="000000" w:themeColor="text1"/>
        </w:rPr>
        <w:t xml:space="preserve">medications </w:t>
      </w:r>
      <w:r w:rsidR="00F17553">
        <w:rPr>
          <w:color w:val="000000" w:themeColor="text1"/>
        </w:rPr>
        <w:t xml:space="preserve">and </w:t>
      </w:r>
      <w:r w:rsidR="004077D4">
        <w:rPr>
          <w:color w:val="000000" w:themeColor="text1"/>
        </w:rPr>
        <w:t xml:space="preserve">reduce barriers to improve </w:t>
      </w:r>
      <w:r w:rsidR="00F17553">
        <w:rPr>
          <w:color w:val="000000" w:themeColor="text1"/>
        </w:rPr>
        <w:t xml:space="preserve">medication </w:t>
      </w:r>
      <w:r w:rsidR="004E408C" w:rsidRPr="003A69DF">
        <w:rPr>
          <w:color w:val="000000" w:themeColor="text1"/>
        </w:rPr>
        <w:t xml:space="preserve">adherence. </w:t>
      </w:r>
      <w:r w:rsidR="004E408C" w:rsidRPr="003A69DF">
        <w:rPr>
          <w:bCs/>
          <w:color w:val="000000" w:themeColor="text1"/>
        </w:rPr>
        <w:t>Th</w:t>
      </w:r>
      <w:r w:rsidR="00383A90" w:rsidRPr="003A69DF">
        <w:rPr>
          <w:bCs/>
          <w:color w:val="000000" w:themeColor="text1"/>
        </w:rPr>
        <w:t>is can</w:t>
      </w:r>
      <w:r w:rsidR="004E408C" w:rsidRPr="003A69DF">
        <w:rPr>
          <w:bCs/>
          <w:color w:val="000000" w:themeColor="text1"/>
        </w:rPr>
        <w:t xml:space="preserve"> include consideration of whether medication timings </w:t>
      </w:r>
      <w:r w:rsidR="008E69CE">
        <w:rPr>
          <w:bCs/>
          <w:color w:val="000000" w:themeColor="text1"/>
        </w:rPr>
        <w:t>can</w:t>
      </w:r>
      <w:r w:rsidR="001A3BF9">
        <w:rPr>
          <w:bCs/>
          <w:color w:val="000000" w:themeColor="text1"/>
        </w:rPr>
        <w:t xml:space="preserve"> coincide with care calls</w:t>
      </w:r>
      <w:r w:rsidR="004E408C" w:rsidRPr="003A69DF">
        <w:rPr>
          <w:bCs/>
          <w:color w:val="000000" w:themeColor="text1"/>
        </w:rPr>
        <w:t xml:space="preserve"> </w:t>
      </w:r>
      <w:r w:rsidR="00347BC1">
        <w:rPr>
          <w:bCs/>
          <w:color w:val="000000" w:themeColor="text1"/>
        </w:rPr>
        <w:t xml:space="preserve">or </w:t>
      </w:r>
      <w:r w:rsidR="00505190">
        <w:rPr>
          <w:bCs/>
          <w:color w:val="000000" w:themeColor="text1"/>
        </w:rPr>
        <w:t>using</w:t>
      </w:r>
      <w:r w:rsidR="00946B23">
        <w:rPr>
          <w:bCs/>
          <w:color w:val="000000" w:themeColor="text1"/>
        </w:rPr>
        <w:t xml:space="preserve"> assistive devices</w:t>
      </w:r>
      <w:r w:rsidR="008E69CE">
        <w:rPr>
          <w:bCs/>
          <w:color w:val="000000" w:themeColor="text1"/>
        </w:rPr>
        <w:t>, for example</w:t>
      </w:r>
      <w:r w:rsidR="00946B23">
        <w:rPr>
          <w:bCs/>
          <w:color w:val="000000" w:themeColor="text1"/>
        </w:rPr>
        <w:t xml:space="preserve">. </w:t>
      </w:r>
    </w:p>
    <w:p w14:paraId="57ED9E69" w14:textId="77777777" w:rsidR="00FF0E87" w:rsidRDefault="00FF0E87" w:rsidP="00843193">
      <w:pPr>
        <w:jc w:val="both"/>
        <w:rPr>
          <w:color w:val="000000" w:themeColor="text1"/>
        </w:rPr>
      </w:pPr>
    </w:p>
    <w:p w14:paraId="7334D57F" w14:textId="3A15E682" w:rsidR="00C13875" w:rsidRPr="00EF7BCA" w:rsidRDefault="004E408C" w:rsidP="00843193">
      <w:pPr>
        <w:jc w:val="both"/>
        <w:rPr>
          <w:bCs/>
          <w:color w:val="FF0000"/>
        </w:rPr>
      </w:pPr>
      <w:r>
        <w:rPr>
          <w:color w:val="000000" w:themeColor="text1"/>
        </w:rPr>
        <w:t xml:space="preserve">Pharmacist </w:t>
      </w:r>
      <w:r w:rsidR="00F07D13">
        <w:rPr>
          <w:color w:val="000000" w:themeColor="text1"/>
        </w:rPr>
        <w:t>5</w:t>
      </w:r>
      <w:r>
        <w:rPr>
          <w:color w:val="000000" w:themeColor="text1"/>
        </w:rPr>
        <w:t>:</w:t>
      </w:r>
      <w:r w:rsidR="009A58D6" w:rsidRPr="00EF7BCA">
        <w:rPr>
          <w:color w:val="000000" w:themeColor="text1"/>
        </w:rPr>
        <w:t xml:space="preserve"> </w:t>
      </w:r>
      <w:r w:rsidR="00585A46" w:rsidRPr="00EF7BCA">
        <w:rPr>
          <w:i/>
          <w:iCs/>
        </w:rPr>
        <w:t>“Knowing that patients score higher because they live alone is useful prompting and to think about how patients manage if they are by themselves…how are they going to get the</w:t>
      </w:r>
      <w:r w:rsidR="00774966">
        <w:rPr>
          <w:i/>
          <w:iCs/>
        </w:rPr>
        <w:t>ir</w:t>
      </w:r>
      <w:r w:rsidR="00585A46" w:rsidRPr="00EF7BCA">
        <w:rPr>
          <w:i/>
          <w:iCs/>
        </w:rPr>
        <w:t xml:space="preserve"> medications?”</w:t>
      </w:r>
      <w:r w:rsidR="001C7B60" w:rsidRPr="00EF7BCA">
        <w:rPr>
          <w:color w:val="000000" w:themeColor="text1"/>
        </w:rPr>
        <w:t xml:space="preserve"> </w:t>
      </w:r>
    </w:p>
    <w:p w14:paraId="4C621DE8" w14:textId="77777777" w:rsidR="006705A4" w:rsidRPr="00EF7BCA" w:rsidRDefault="006705A4" w:rsidP="00C13875">
      <w:pPr>
        <w:jc w:val="both"/>
      </w:pPr>
    </w:p>
    <w:p w14:paraId="5B70849C" w14:textId="6DE8BF18" w:rsidR="00E23107" w:rsidRDefault="00C13875" w:rsidP="00690D55">
      <w:pPr>
        <w:jc w:val="both"/>
      </w:pPr>
      <w:r w:rsidRPr="00EF7BCA">
        <w:rPr>
          <w:color w:val="000000" w:themeColor="text1"/>
        </w:rPr>
        <w:t xml:space="preserve">However, scoring </w:t>
      </w:r>
      <w:r w:rsidR="00E23107">
        <w:rPr>
          <w:color w:val="000000" w:themeColor="text1"/>
        </w:rPr>
        <w:t xml:space="preserve">patients </w:t>
      </w:r>
      <w:r w:rsidRPr="00EF7BCA">
        <w:rPr>
          <w:color w:val="000000" w:themeColor="text1"/>
        </w:rPr>
        <w:t>for simply living alone could hide potential nuances</w:t>
      </w:r>
      <w:r w:rsidR="00103934" w:rsidRPr="00EF7BCA">
        <w:rPr>
          <w:color w:val="000000" w:themeColor="text1"/>
        </w:rPr>
        <w:t xml:space="preserve"> and engender false </w:t>
      </w:r>
      <w:r w:rsidR="00FD51D3" w:rsidRPr="00EF7BCA">
        <w:rPr>
          <w:color w:val="000000" w:themeColor="text1"/>
        </w:rPr>
        <w:t xml:space="preserve">sense of security. </w:t>
      </w:r>
      <w:r w:rsidRPr="00EF7BCA">
        <w:t>For instance, family member or carers may not be well versed in patient’s medications</w:t>
      </w:r>
      <w:r w:rsidR="00FD51D3" w:rsidRPr="00EF7BCA">
        <w:t xml:space="preserve"> and t</w:t>
      </w:r>
      <w:r w:rsidRPr="00EF7BCA">
        <w:t xml:space="preserve">herefore, the risk of suffering MRH </w:t>
      </w:r>
      <w:r w:rsidR="00FD51D3" w:rsidRPr="00EF7BCA">
        <w:t>is not necessarily mitigated just because the patient is not living alone.</w:t>
      </w:r>
      <w:r w:rsidR="00E23AFA">
        <w:t xml:space="preserve"> In patients who rely on others to get their medications, carer/family education is equally as important as patient education.</w:t>
      </w:r>
    </w:p>
    <w:p w14:paraId="3240B749" w14:textId="77777777" w:rsidR="00E23107" w:rsidRDefault="00E23107" w:rsidP="00690D55">
      <w:pPr>
        <w:jc w:val="both"/>
      </w:pPr>
    </w:p>
    <w:p w14:paraId="2784E6F9" w14:textId="571DE674" w:rsidR="00C13875" w:rsidRPr="00EF7BCA" w:rsidRDefault="00E23107" w:rsidP="00690D55">
      <w:pPr>
        <w:jc w:val="both"/>
      </w:pPr>
      <w:r>
        <w:t xml:space="preserve">Pharmacist 4: </w:t>
      </w:r>
      <w:r w:rsidR="00D62AA7" w:rsidRPr="00EF7BCA">
        <w:t>“</w:t>
      </w:r>
      <w:r>
        <w:rPr>
          <w:i/>
          <w:iCs/>
        </w:rPr>
        <w:t>Y</w:t>
      </w:r>
      <w:r w:rsidR="00C13875" w:rsidRPr="00EF7BCA">
        <w:rPr>
          <w:i/>
          <w:iCs/>
        </w:rPr>
        <w:t>ou can’t assume just because the patient is living with the family, they’ll get their medications on time or correctly or follow sick day rules.</w:t>
      </w:r>
      <w:r w:rsidR="00D62AA7" w:rsidRPr="00EF7BCA">
        <w:rPr>
          <w:i/>
          <w:iCs/>
        </w:rPr>
        <w:t>”</w:t>
      </w:r>
    </w:p>
    <w:p w14:paraId="369076BD" w14:textId="5F280B66" w:rsidR="003332CC" w:rsidRPr="00EF7BCA" w:rsidRDefault="003332CC" w:rsidP="00B34605">
      <w:pPr>
        <w:jc w:val="both"/>
        <w:rPr>
          <w:b/>
        </w:rPr>
      </w:pPr>
    </w:p>
    <w:p w14:paraId="358BC709" w14:textId="6AFBB153" w:rsidR="00E2508E" w:rsidRPr="00EF7BCA" w:rsidRDefault="00E2508E" w:rsidP="00E2508E">
      <w:pPr>
        <w:jc w:val="both"/>
        <w:rPr>
          <w:u w:val="single"/>
        </w:rPr>
      </w:pPr>
      <w:r w:rsidRPr="00EF7BCA">
        <w:rPr>
          <w:u w:val="single"/>
        </w:rPr>
        <w:t>Communication</w:t>
      </w:r>
      <w:r w:rsidR="00970402" w:rsidRPr="00EF7BCA">
        <w:rPr>
          <w:u w:val="single"/>
        </w:rPr>
        <w:t>/presentation</w:t>
      </w:r>
      <w:r w:rsidRPr="00EF7BCA">
        <w:rPr>
          <w:u w:val="single"/>
        </w:rPr>
        <w:t xml:space="preserve"> of risk to patients, hospital staff and community teams</w:t>
      </w:r>
    </w:p>
    <w:p w14:paraId="1764F702" w14:textId="77777777" w:rsidR="0042327B" w:rsidRPr="00EF7BCA" w:rsidRDefault="0042327B" w:rsidP="0042327B">
      <w:pPr>
        <w:jc w:val="both"/>
        <w:rPr>
          <w:b/>
        </w:rPr>
      </w:pPr>
    </w:p>
    <w:p w14:paraId="27D52617" w14:textId="14D05552" w:rsidR="00E804EE" w:rsidRPr="0083201A" w:rsidRDefault="00575EE7" w:rsidP="00E2508E">
      <w:pPr>
        <w:jc w:val="both"/>
        <w:rPr>
          <w:bCs/>
          <w:color w:val="000000" w:themeColor="text1"/>
        </w:rPr>
      </w:pPr>
      <w:r>
        <w:rPr>
          <w:bCs/>
          <w:color w:val="000000" w:themeColor="text1"/>
        </w:rPr>
        <w:t xml:space="preserve">The PRIME-RPT </w:t>
      </w:r>
      <w:r w:rsidR="00596DFE" w:rsidRPr="003A69DF">
        <w:rPr>
          <w:bCs/>
          <w:color w:val="000000" w:themeColor="text1"/>
        </w:rPr>
        <w:t xml:space="preserve">provides an objective score of MRH risk and </w:t>
      </w:r>
      <w:r w:rsidRPr="003A69DF">
        <w:rPr>
          <w:bCs/>
          <w:color w:val="000000" w:themeColor="text1"/>
        </w:rPr>
        <w:t xml:space="preserve">is an effective way of communicating </w:t>
      </w:r>
      <w:r w:rsidR="00596DFE" w:rsidRPr="003A69DF">
        <w:rPr>
          <w:bCs/>
          <w:color w:val="000000" w:themeColor="text1"/>
        </w:rPr>
        <w:t>this</w:t>
      </w:r>
      <w:r w:rsidRPr="003A69DF">
        <w:rPr>
          <w:bCs/>
          <w:color w:val="000000" w:themeColor="text1"/>
        </w:rPr>
        <w:t xml:space="preserve"> risk to </w:t>
      </w:r>
      <w:r w:rsidRPr="0083201A">
        <w:rPr>
          <w:bCs/>
          <w:color w:val="000000" w:themeColor="text1"/>
        </w:rPr>
        <w:t>important stakeholders including patients, families, hospital, and community teams</w:t>
      </w:r>
      <w:r w:rsidR="00DC1791" w:rsidRPr="0083201A">
        <w:rPr>
          <w:bCs/>
          <w:color w:val="000000" w:themeColor="text1"/>
        </w:rPr>
        <w:t>.</w:t>
      </w:r>
      <w:r w:rsidR="00E804EE" w:rsidRPr="0083201A">
        <w:rPr>
          <w:bCs/>
          <w:color w:val="000000" w:themeColor="text1"/>
        </w:rPr>
        <w:t xml:space="preserve"> It facilitates </w:t>
      </w:r>
      <w:r w:rsidR="00187A0A" w:rsidRPr="0083201A">
        <w:rPr>
          <w:bCs/>
          <w:color w:val="000000" w:themeColor="text1"/>
        </w:rPr>
        <w:t>a</w:t>
      </w:r>
      <w:r w:rsidR="00E804EE" w:rsidRPr="0083201A">
        <w:rPr>
          <w:bCs/>
          <w:color w:val="000000" w:themeColor="text1"/>
        </w:rPr>
        <w:t xml:space="preserve"> patient-centred approach to appropriate prescribing and deprescribing by actively involving </w:t>
      </w:r>
      <w:r w:rsidR="00187A0A" w:rsidRPr="0083201A">
        <w:rPr>
          <w:bCs/>
          <w:color w:val="000000" w:themeColor="text1"/>
        </w:rPr>
        <w:t>them</w:t>
      </w:r>
      <w:r w:rsidR="00E804EE" w:rsidRPr="0083201A">
        <w:rPr>
          <w:bCs/>
          <w:color w:val="000000" w:themeColor="text1"/>
        </w:rPr>
        <w:t xml:space="preserve"> in discussi</w:t>
      </w:r>
      <w:r w:rsidR="00187A0A" w:rsidRPr="0083201A">
        <w:rPr>
          <w:bCs/>
          <w:color w:val="000000" w:themeColor="text1"/>
        </w:rPr>
        <w:t>ons re</w:t>
      </w:r>
      <w:r w:rsidR="00383A90" w:rsidRPr="0083201A">
        <w:rPr>
          <w:bCs/>
          <w:color w:val="000000" w:themeColor="text1"/>
        </w:rPr>
        <w:t>lating to</w:t>
      </w:r>
      <w:r w:rsidR="002B3C83" w:rsidRPr="0083201A">
        <w:rPr>
          <w:bCs/>
          <w:color w:val="000000" w:themeColor="text1"/>
        </w:rPr>
        <w:t xml:space="preserve"> </w:t>
      </w:r>
      <w:r w:rsidR="00187A0A" w:rsidRPr="0083201A">
        <w:rPr>
          <w:bCs/>
          <w:color w:val="000000" w:themeColor="text1"/>
        </w:rPr>
        <w:t xml:space="preserve">potential </w:t>
      </w:r>
      <w:r w:rsidR="00E804EE" w:rsidRPr="0083201A">
        <w:rPr>
          <w:bCs/>
          <w:color w:val="000000" w:themeColor="text1"/>
        </w:rPr>
        <w:t>benefit</w:t>
      </w:r>
      <w:r w:rsidR="00187A0A" w:rsidRPr="0083201A">
        <w:rPr>
          <w:bCs/>
          <w:color w:val="000000" w:themeColor="text1"/>
        </w:rPr>
        <w:t xml:space="preserve"> and </w:t>
      </w:r>
      <w:r w:rsidR="00E804EE" w:rsidRPr="0083201A">
        <w:rPr>
          <w:bCs/>
          <w:color w:val="000000" w:themeColor="text1"/>
        </w:rPr>
        <w:t xml:space="preserve">harm from medications. </w:t>
      </w:r>
      <w:r w:rsidR="00383A90" w:rsidRPr="0083201A">
        <w:rPr>
          <w:bCs/>
          <w:color w:val="000000" w:themeColor="text1"/>
        </w:rPr>
        <w:t>The RPT</w:t>
      </w:r>
      <w:r w:rsidR="00E804EE" w:rsidRPr="0083201A">
        <w:rPr>
          <w:bCs/>
          <w:color w:val="000000" w:themeColor="text1"/>
        </w:rPr>
        <w:t xml:space="preserve"> can also</w:t>
      </w:r>
      <w:r w:rsidR="00C02D5B">
        <w:rPr>
          <w:bCs/>
          <w:color w:val="000000" w:themeColor="text1"/>
        </w:rPr>
        <w:t xml:space="preserve"> </w:t>
      </w:r>
      <w:r w:rsidR="00B93354" w:rsidRPr="0083201A">
        <w:rPr>
          <w:bCs/>
          <w:color w:val="000000" w:themeColor="text1"/>
        </w:rPr>
        <w:t>highlight</w:t>
      </w:r>
      <w:r w:rsidR="00E804EE" w:rsidRPr="0083201A">
        <w:rPr>
          <w:bCs/>
          <w:color w:val="000000" w:themeColor="text1"/>
        </w:rPr>
        <w:t xml:space="preserve"> high-risk patients that need close follow-up and </w:t>
      </w:r>
      <w:r w:rsidR="009F6836" w:rsidRPr="0083201A">
        <w:rPr>
          <w:bCs/>
          <w:color w:val="000000" w:themeColor="text1"/>
        </w:rPr>
        <w:t xml:space="preserve">medication </w:t>
      </w:r>
      <w:r w:rsidR="00E804EE" w:rsidRPr="0083201A">
        <w:rPr>
          <w:bCs/>
          <w:color w:val="000000" w:themeColor="text1"/>
        </w:rPr>
        <w:t>review to clinicians.</w:t>
      </w:r>
    </w:p>
    <w:p w14:paraId="55DD7872" w14:textId="77777777" w:rsidR="00C82417" w:rsidRPr="00EF7BCA" w:rsidRDefault="00C82417" w:rsidP="00E2508E">
      <w:pPr>
        <w:jc w:val="both"/>
        <w:rPr>
          <w:bCs/>
        </w:rPr>
      </w:pPr>
    </w:p>
    <w:p w14:paraId="197A539C" w14:textId="1858C87C" w:rsidR="003332CC" w:rsidRDefault="007E15EE" w:rsidP="00B34605">
      <w:pPr>
        <w:jc w:val="both"/>
      </w:pPr>
      <w:r>
        <w:rPr>
          <w:bCs/>
        </w:rPr>
        <w:t>T</w:t>
      </w:r>
      <w:r w:rsidR="00611673">
        <w:rPr>
          <w:bCs/>
        </w:rPr>
        <w:t xml:space="preserve">he way risk is </w:t>
      </w:r>
      <w:r w:rsidR="00611673" w:rsidRPr="0083201A">
        <w:rPr>
          <w:bCs/>
          <w:color w:val="000000" w:themeColor="text1"/>
        </w:rPr>
        <w:t xml:space="preserve">presented to clinicians can impact </w:t>
      </w:r>
      <w:r w:rsidR="00B93354" w:rsidRPr="0083201A">
        <w:rPr>
          <w:bCs/>
          <w:color w:val="000000" w:themeColor="text1"/>
        </w:rPr>
        <w:t xml:space="preserve">on their </w:t>
      </w:r>
      <w:r w:rsidR="00611673" w:rsidRPr="0083201A">
        <w:rPr>
          <w:bCs/>
          <w:color w:val="000000" w:themeColor="text1"/>
        </w:rPr>
        <w:t>decision making.</w:t>
      </w:r>
      <w:r w:rsidR="0070522A" w:rsidRPr="0083201A">
        <w:rPr>
          <w:bCs/>
          <w:color w:val="000000" w:themeColor="text1"/>
        </w:rPr>
        <w:t xml:space="preserve"> In our interviews, what pharmacists </w:t>
      </w:r>
      <w:r w:rsidR="0070522A">
        <w:rPr>
          <w:bCs/>
        </w:rPr>
        <w:t xml:space="preserve">considered high </w:t>
      </w:r>
      <w:r w:rsidR="00D03FE5">
        <w:rPr>
          <w:bCs/>
        </w:rPr>
        <w:t xml:space="preserve">versus low </w:t>
      </w:r>
      <w:r w:rsidR="0070522A">
        <w:rPr>
          <w:bCs/>
        </w:rPr>
        <w:t>risk varied widely</w:t>
      </w:r>
      <w:r w:rsidR="00D03FE5">
        <w:rPr>
          <w:bCs/>
        </w:rPr>
        <w:t xml:space="preserve"> between interviewed participants.</w:t>
      </w:r>
      <w:r w:rsidR="0070522A">
        <w:rPr>
          <w:bCs/>
        </w:rPr>
        <w:t xml:space="preserve"> Pharmacist 3 highlighted they thought 8% risk of MRH is low </w:t>
      </w:r>
      <w:r w:rsidR="00D96B5E">
        <w:rPr>
          <w:bCs/>
        </w:rPr>
        <w:t xml:space="preserve">risk </w:t>
      </w:r>
      <w:r w:rsidR="008E64BC" w:rsidRPr="00EF7BCA">
        <w:rPr>
          <w:bCs/>
        </w:rPr>
        <w:t>“</w:t>
      </w:r>
      <w:r w:rsidR="008E64BC" w:rsidRPr="00EF7BCA">
        <w:rPr>
          <w:i/>
          <w:iCs/>
          <w:color w:val="000000" w:themeColor="text1"/>
        </w:rPr>
        <w:t>but it’s still almost 1 in 10 chance. Putting the risk as a 1 in something would probably make me take the 8% more seriously.”</w:t>
      </w:r>
      <w:r w:rsidR="008E64BC" w:rsidRPr="00EF7BCA">
        <w:rPr>
          <w:bCs/>
        </w:rPr>
        <w:t xml:space="preserve"> Presentation and communication of risk </w:t>
      </w:r>
      <w:r w:rsidR="003A5F68" w:rsidRPr="00EF7BCA">
        <w:rPr>
          <w:bCs/>
        </w:rPr>
        <w:t xml:space="preserve">is especially important when considering there is no formal </w:t>
      </w:r>
      <w:r w:rsidR="003A5F68" w:rsidRPr="00EF7BCA">
        <w:t xml:space="preserve">definition for the cut off </w:t>
      </w:r>
      <w:r w:rsidR="00356862" w:rsidRPr="00EF7BCA">
        <w:t>for</w:t>
      </w:r>
      <w:r w:rsidR="003A5F68" w:rsidRPr="00EF7BCA">
        <w:t xml:space="preserve"> low, medium</w:t>
      </w:r>
      <w:r w:rsidR="00B56DFD" w:rsidRPr="00EF7BCA">
        <w:t>,</w:t>
      </w:r>
      <w:r w:rsidR="003A5F68" w:rsidRPr="00EF7BCA">
        <w:t xml:space="preserve"> or high</w:t>
      </w:r>
      <w:r w:rsidR="00C36D23">
        <w:t>-</w:t>
      </w:r>
      <w:r w:rsidR="003A5F68" w:rsidRPr="00EF7BCA">
        <w:t>risk.</w:t>
      </w:r>
    </w:p>
    <w:p w14:paraId="3D1D26A2" w14:textId="225FE1F4" w:rsidR="003E6786" w:rsidRDefault="003E6786" w:rsidP="00B34605">
      <w:pPr>
        <w:jc w:val="both"/>
      </w:pPr>
    </w:p>
    <w:p w14:paraId="76AC516E" w14:textId="1E720B3D" w:rsidR="003E6786" w:rsidRPr="0083201A" w:rsidRDefault="003E6786" w:rsidP="003E6786">
      <w:pPr>
        <w:jc w:val="both"/>
        <w:rPr>
          <w:bCs/>
          <w:color w:val="000000" w:themeColor="text1"/>
        </w:rPr>
      </w:pPr>
      <w:r>
        <w:rPr>
          <w:bCs/>
          <w:color w:val="000000" w:themeColor="text1"/>
        </w:rPr>
        <w:t>Similarly, p</w:t>
      </w:r>
      <w:r w:rsidRPr="0083201A">
        <w:rPr>
          <w:bCs/>
          <w:color w:val="000000" w:themeColor="text1"/>
        </w:rPr>
        <w:t>oor communication with patients can cause undue stress and alarm to patients which might lead to non-adherence and subsequent harm.</w:t>
      </w:r>
    </w:p>
    <w:p w14:paraId="4BBCEA96" w14:textId="77777777" w:rsidR="003E6786" w:rsidRDefault="003E6786" w:rsidP="003E6786">
      <w:pPr>
        <w:jc w:val="both"/>
        <w:rPr>
          <w:bCs/>
        </w:rPr>
      </w:pPr>
    </w:p>
    <w:p w14:paraId="0F21B65C" w14:textId="12EE24F3" w:rsidR="003332CC" w:rsidRDefault="003E6786" w:rsidP="00B34605">
      <w:pPr>
        <w:jc w:val="both"/>
        <w:rPr>
          <w:bCs/>
          <w:i/>
          <w:iCs/>
        </w:rPr>
      </w:pPr>
      <w:r>
        <w:rPr>
          <w:bCs/>
        </w:rPr>
        <w:t xml:space="preserve">Pharmacist 3: </w:t>
      </w:r>
      <w:r w:rsidRPr="005D25EC">
        <w:rPr>
          <w:bCs/>
          <w:i/>
          <w:iCs/>
        </w:rPr>
        <w:t>“</w:t>
      </w:r>
      <w:r w:rsidRPr="005F691F">
        <w:rPr>
          <w:bCs/>
          <w:i/>
          <w:iCs/>
        </w:rPr>
        <w:t>W</w:t>
      </w:r>
      <w:r w:rsidRPr="00EF7BCA">
        <w:rPr>
          <w:bCs/>
          <w:i/>
          <w:iCs/>
        </w:rPr>
        <w:t>hen telling patients, the risk of harm from their drugs, it needs to be presented with tact so that they aren’t scared of the side-effects</w:t>
      </w:r>
      <w:r>
        <w:rPr>
          <w:bCs/>
          <w:i/>
          <w:iCs/>
        </w:rPr>
        <w:t>,</w:t>
      </w:r>
      <w:r w:rsidRPr="00EF7BCA">
        <w:rPr>
          <w:bCs/>
          <w:i/>
          <w:iCs/>
        </w:rPr>
        <w:t xml:space="preserve"> especially if the benefits outweigh the risks.”</w:t>
      </w:r>
    </w:p>
    <w:p w14:paraId="550C3340" w14:textId="77777777" w:rsidR="00636DFB" w:rsidRPr="003E6786" w:rsidRDefault="00636DFB" w:rsidP="00B34605">
      <w:pPr>
        <w:jc w:val="both"/>
        <w:rPr>
          <w:bCs/>
        </w:rPr>
      </w:pPr>
    </w:p>
    <w:p w14:paraId="24B934DA" w14:textId="34442619" w:rsidR="007714C0" w:rsidRPr="007714C0" w:rsidRDefault="007714C0" w:rsidP="007714C0">
      <w:pPr>
        <w:jc w:val="both"/>
        <w:rPr>
          <w:u w:val="single"/>
        </w:rPr>
      </w:pPr>
      <w:r w:rsidRPr="007714C0">
        <w:rPr>
          <w:u w:val="single"/>
        </w:rPr>
        <w:t>Streamlining community follow-up and integrati</w:t>
      </w:r>
      <w:r>
        <w:rPr>
          <w:u w:val="single"/>
        </w:rPr>
        <w:t>ng</w:t>
      </w:r>
      <w:r w:rsidRPr="007714C0">
        <w:rPr>
          <w:u w:val="single"/>
        </w:rPr>
        <w:t xml:space="preserve"> </w:t>
      </w:r>
      <w:r>
        <w:rPr>
          <w:u w:val="single"/>
        </w:rPr>
        <w:t>MRH risk</w:t>
      </w:r>
      <w:r w:rsidRPr="007714C0">
        <w:rPr>
          <w:u w:val="single"/>
        </w:rPr>
        <w:t xml:space="preserve"> discussion into clinical practice</w:t>
      </w:r>
    </w:p>
    <w:p w14:paraId="1883FEBA" w14:textId="283FA6DE" w:rsidR="003332CC" w:rsidRPr="00EF7BCA" w:rsidRDefault="003332CC" w:rsidP="00B34605">
      <w:pPr>
        <w:jc w:val="both"/>
        <w:rPr>
          <w:b/>
        </w:rPr>
      </w:pPr>
    </w:p>
    <w:p w14:paraId="0382C47C" w14:textId="1332DCB5" w:rsidR="00484B91" w:rsidRPr="0069582A" w:rsidRDefault="00843A34" w:rsidP="008C177B">
      <w:pPr>
        <w:jc w:val="both"/>
        <w:rPr>
          <w:color w:val="000000" w:themeColor="text1"/>
        </w:rPr>
      </w:pPr>
      <w:r>
        <w:rPr>
          <w:bCs/>
          <w:color w:val="000000" w:themeColor="text1"/>
        </w:rPr>
        <w:t xml:space="preserve">For the PRIME-RPT to be successfully </w:t>
      </w:r>
      <w:r w:rsidR="00FE10F0">
        <w:rPr>
          <w:bCs/>
          <w:color w:val="000000" w:themeColor="text1"/>
        </w:rPr>
        <w:t>implemented</w:t>
      </w:r>
      <w:r>
        <w:rPr>
          <w:bCs/>
          <w:color w:val="000000" w:themeColor="text1"/>
        </w:rPr>
        <w:t xml:space="preserve"> into</w:t>
      </w:r>
      <w:r w:rsidR="00FE10F0">
        <w:rPr>
          <w:bCs/>
          <w:color w:val="000000" w:themeColor="text1"/>
        </w:rPr>
        <w:t xml:space="preserve"> routine</w:t>
      </w:r>
      <w:r>
        <w:rPr>
          <w:bCs/>
          <w:color w:val="000000" w:themeColor="text1"/>
        </w:rPr>
        <w:t xml:space="preserve"> clinical practice</w:t>
      </w:r>
      <w:r w:rsidR="002E7C29">
        <w:rPr>
          <w:bCs/>
          <w:color w:val="000000" w:themeColor="text1"/>
        </w:rPr>
        <w:t>, it must be easy to use and interpret, results must be appropriately followed up and the tool should be integrated into existing clinical pathways.</w:t>
      </w:r>
      <w:r w:rsidR="000F6B73">
        <w:rPr>
          <w:bCs/>
          <w:color w:val="000000" w:themeColor="text1"/>
        </w:rPr>
        <w:t xml:space="preserve"> </w:t>
      </w:r>
      <w:r w:rsidR="000F6B73" w:rsidRPr="00EF7BCA">
        <w:rPr>
          <w:bCs/>
          <w:color w:val="000000" w:themeColor="text1"/>
        </w:rPr>
        <w:t xml:space="preserve">PRIME-RPT uses </w:t>
      </w:r>
      <w:r w:rsidR="000F6B73" w:rsidRPr="00EF7BCA">
        <w:rPr>
          <w:color w:val="000000" w:themeColor="text1"/>
        </w:rPr>
        <w:t>variables that are routinely collected and available in patients’ hospital records</w:t>
      </w:r>
      <w:r w:rsidR="000F6B73">
        <w:rPr>
          <w:color w:val="000000" w:themeColor="text1"/>
        </w:rPr>
        <w:t xml:space="preserve">, making it easy to use. It produces a </w:t>
      </w:r>
      <w:r w:rsidR="000F6B73">
        <w:rPr>
          <w:color w:val="000000" w:themeColor="text1"/>
        </w:rPr>
        <w:lastRenderedPageBreak/>
        <w:t xml:space="preserve">percentage value which </w:t>
      </w:r>
      <w:r w:rsidR="000F6B73" w:rsidRPr="0083201A">
        <w:rPr>
          <w:color w:val="000000" w:themeColor="text1"/>
        </w:rPr>
        <w:t>represents the risk of</w:t>
      </w:r>
      <w:r w:rsidR="00FC2813" w:rsidRPr="0083201A">
        <w:rPr>
          <w:color w:val="000000" w:themeColor="text1"/>
        </w:rPr>
        <w:t xml:space="preserve"> </w:t>
      </w:r>
      <w:r w:rsidR="009333D1">
        <w:rPr>
          <w:color w:val="000000" w:themeColor="text1"/>
        </w:rPr>
        <w:t>experienc</w:t>
      </w:r>
      <w:r w:rsidR="00FC2813" w:rsidRPr="0083201A">
        <w:rPr>
          <w:color w:val="000000" w:themeColor="text1"/>
        </w:rPr>
        <w:t xml:space="preserve">ing MRH in the </w:t>
      </w:r>
      <w:r w:rsidR="006044C0">
        <w:rPr>
          <w:color w:val="000000" w:themeColor="text1"/>
        </w:rPr>
        <w:t>eight</w:t>
      </w:r>
      <w:r w:rsidR="00FC2813" w:rsidRPr="0083201A">
        <w:rPr>
          <w:color w:val="000000" w:themeColor="text1"/>
        </w:rPr>
        <w:t xml:space="preserve">-weeks following discharge, making it simple to interpret. </w:t>
      </w:r>
      <w:r w:rsidR="004A704E" w:rsidRPr="0083201A">
        <w:rPr>
          <w:color w:val="000000" w:themeColor="text1"/>
        </w:rPr>
        <w:t>Documenting the MRH risk</w:t>
      </w:r>
      <w:r w:rsidR="00B93354" w:rsidRPr="0083201A">
        <w:rPr>
          <w:color w:val="000000" w:themeColor="text1"/>
        </w:rPr>
        <w:t xml:space="preserve"> score</w:t>
      </w:r>
      <w:r w:rsidR="004A704E" w:rsidRPr="0083201A">
        <w:rPr>
          <w:color w:val="000000" w:themeColor="text1"/>
        </w:rPr>
        <w:t xml:space="preserve"> on discharge summaries</w:t>
      </w:r>
      <w:r w:rsidR="0014132E" w:rsidRPr="0083201A">
        <w:rPr>
          <w:color w:val="000000" w:themeColor="text1"/>
        </w:rPr>
        <w:t xml:space="preserve"> and </w:t>
      </w:r>
      <w:r w:rsidR="004A704E" w:rsidRPr="0083201A">
        <w:rPr>
          <w:color w:val="000000" w:themeColor="text1"/>
        </w:rPr>
        <w:t xml:space="preserve">electronic patient records </w:t>
      </w:r>
      <w:r w:rsidR="004A704E" w:rsidRPr="00EF7BCA">
        <w:rPr>
          <w:color w:val="000000" w:themeColor="text1"/>
        </w:rPr>
        <w:t>w</w:t>
      </w:r>
      <w:r w:rsidR="0014132E" w:rsidRPr="00EF7BCA">
        <w:rPr>
          <w:color w:val="000000" w:themeColor="text1"/>
        </w:rPr>
        <w:t>ere</w:t>
      </w:r>
      <w:r w:rsidR="004A704E" w:rsidRPr="00EF7BCA">
        <w:rPr>
          <w:color w:val="000000" w:themeColor="text1"/>
        </w:rPr>
        <w:t xml:space="preserve"> cited as </w:t>
      </w:r>
      <w:r w:rsidR="00DB05DD">
        <w:rPr>
          <w:color w:val="000000" w:themeColor="text1"/>
        </w:rPr>
        <w:t>simple</w:t>
      </w:r>
      <w:r w:rsidR="00B56DFD" w:rsidRPr="00EF7BCA">
        <w:rPr>
          <w:color w:val="000000" w:themeColor="text1"/>
        </w:rPr>
        <w:t xml:space="preserve"> way</w:t>
      </w:r>
      <w:r w:rsidR="00DB05DD">
        <w:rPr>
          <w:color w:val="000000" w:themeColor="text1"/>
        </w:rPr>
        <w:t>s</w:t>
      </w:r>
      <w:r w:rsidR="004A704E" w:rsidRPr="00EF7BCA">
        <w:rPr>
          <w:color w:val="000000" w:themeColor="text1"/>
        </w:rPr>
        <w:t xml:space="preserve"> </w:t>
      </w:r>
      <w:r w:rsidR="00B56DFD" w:rsidRPr="00EF7BCA">
        <w:rPr>
          <w:color w:val="000000" w:themeColor="text1"/>
        </w:rPr>
        <w:t>of</w:t>
      </w:r>
      <w:r w:rsidR="004A704E" w:rsidRPr="00EF7BCA">
        <w:rPr>
          <w:color w:val="000000" w:themeColor="text1"/>
        </w:rPr>
        <w:t xml:space="preserve"> communicat</w:t>
      </w:r>
      <w:r w:rsidR="00B56DFD" w:rsidRPr="00EF7BCA">
        <w:rPr>
          <w:color w:val="000000" w:themeColor="text1"/>
        </w:rPr>
        <w:t>ing</w:t>
      </w:r>
      <w:r w:rsidR="004A704E" w:rsidRPr="00EF7BCA">
        <w:rPr>
          <w:color w:val="000000" w:themeColor="text1"/>
        </w:rPr>
        <w:t xml:space="preserve"> risk with community pharmacists and GPs to </w:t>
      </w:r>
      <w:r w:rsidR="004A704E" w:rsidRPr="0069582A">
        <w:rPr>
          <w:color w:val="000000" w:themeColor="text1"/>
        </w:rPr>
        <w:t>arrange</w:t>
      </w:r>
      <w:r w:rsidR="00B56DFD" w:rsidRPr="0069582A">
        <w:rPr>
          <w:color w:val="000000" w:themeColor="text1"/>
        </w:rPr>
        <w:t xml:space="preserve"> appropriate</w:t>
      </w:r>
      <w:r w:rsidR="004A704E" w:rsidRPr="0069582A">
        <w:rPr>
          <w:color w:val="000000" w:themeColor="text1"/>
        </w:rPr>
        <w:t xml:space="preserve"> follow-up. </w:t>
      </w:r>
      <w:r w:rsidR="009D0EB2" w:rsidRPr="0069582A">
        <w:rPr>
          <w:color w:val="000000" w:themeColor="text1"/>
        </w:rPr>
        <w:t xml:space="preserve">PRIME-RPT could also be integrated into planned </w:t>
      </w:r>
      <w:r w:rsidR="0000097D" w:rsidRPr="0069582A">
        <w:rPr>
          <w:color w:val="000000" w:themeColor="text1"/>
        </w:rPr>
        <w:t xml:space="preserve">national UK initiatives such as </w:t>
      </w:r>
      <w:r w:rsidR="00B93354" w:rsidRPr="0069582A">
        <w:rPr>
          <w:color w:val="000000" w:themeColor="text1"/>
        </w:rPr>
        <w:t>the Discharge Medicine</w:t>
      </w:r>
      <w:r w:rsidR="0069582A" w:rsidRPr="0069582A">
        <w:rPr>
          <w:color w:val="000000" w:themeColor="text1"/>
        </w:rPr>
        <w:t>s</w:t>
      </w:r>
      <w:r w:rsidR="00B93354" w:rsidRPr="0069582A">
        <w:rPr>
          <w:color w:val="000000" w:themeColor="text1"/>
        </w:rPr>
        <w:t xml:space="preserve"> Service (DMS</w:t>
      </w:r>
      <w:r w:rsidR="00016F0F" w:rsidRPr="0069582A">
        <w:rPr>
          <w:color w:val="000000" w:themeColor="text1"/>
        </w:rPr>
        <w:t>)</w:t>
      </w:r>
      <w:r w:rsidR="0069582A" w:rsidRPr="0069582A">
        <w:rPr>
          <w:color w:val="000000" w:themeColor="text1"/>
        </w:rPr>
        <w:t xml:space="preserve"> </w:t>
      </w:r>
      <w:r w:rsidR="003D6AB7">
        <w:rPr>
          <w:color w:val="000000" w:themeColor="text1"/>
        </w:rPr>
        <w:fldChar w:fldCharType="begin" w:fldLock="1"/>
      </w:r>
      <w:r w:rsidR="00F8729F">
        <w:rPr>
          <w:color w:val="000000" w:themeColor="text1"/>
        </w:rPr>
        <w:instrText>ADDIN CSL_CITATION {"citationItems":[{"id":"ITEM-1","itemData":{"abstract":"NHS England and Improvement (2021) NHS Discharge Medicines Service- Toolkit for pharmacy staff in community , primary and secondary care.","author":[{"dropping-particle":"","family":"NHS England","given":"","non-dropping-particle":"","parse-names":false,"suffix":""}],"id":"ITEM-1","issue":"January","issued":{"date-parts":[["2021"]]},"number-of-pages":"1-24","title":"NHS Discharge Medicines Service- Toolkit for pharmacy staff in community , primary and secondary care","type":"report"},"uris":["http://www.mendeley.com/documents/?uuid=a4bb3add-8261-3bf6-811b-907a5a4f164e"]}],"mendeley":{"formattedCitation":"(3)","plainTextFormattedCitation":"(3)","previouslyFormattedCitation":"(3)"},"properties":{"noteIndex":0},"schema":"https://github.com/citation-style-language/schema/raw/master/csl-citation.json"}</w:instrText>
      </w:r>
      <w:r w:rsidR="003D6AB7">
        <w:rPr>
          <w:color w:val="000000" w:themeColor="text1"/>
        </w:rPr>
        <w:fldChar w:fldCharType="separate"/>
      </w:r>
      <w:r w:rsidR="003D6AB7" w:rsidRPr="003D6AB7">
        <w:rPr>
          <w:noProof/>
          <w:color w:val="000000" w:themeColor="text1"/>
        </w:rPr>
        <w:t>(3)</w:t>
      </w:r>
      <w:r w:rsidR="003D6AB7">
        <w:rPr>
          <w:color w:val="000000" w:themeColor="text1"/>
        </w:rPr>
        <w:fldChar w:fldCharType="end"/>
      </w:r>
      <w:r w:rsidR="009D0EB2" w:rsidRPr="0069582A">
        <w:rPr>
          <w:color w:val="000000" w:themeColor="text1"/>
        </w:rPr>
        <w:t>, which</w:t>
      </w:r>
      <w:r w:rsidR="0000097D" w:rsidRPr="0069582A">
        <w:rPr>
          <w:color w:val="000000" w:themeColor="text1"/>
        </w:rPr>
        <w:t xml:space="preserve"> aim</w:t>
      </w:r>
      <w:r w:rsidR="009D0EB2" w:rsidRPr="0069582A">
        <w:rPr>
          <w:color w:val="000000" w:themeColor="text1"/>
        </w:rPr>
        <w:t>s</w:t>
      </w:r>
      <w:r w:rsidR="0000097D" w:rsidRPr="0069582A">
        <w:rPr>
          <w:color w:val="000000" w:themeColor="text1"/>
        </w:rPr>
        <w:t xml:space="preserve"> to reduce the number of patients suffering MRH following hospital discharge. Consequently, k</w:t>
      </w:r>
      <w:r w:rsidR="00DB05DD" w:rsidRPr="0069582A">
        <w:rPr>
          <w:color w:val="000000" w:themeColor="text1"/>
        </w:rPr>
        <w:t xml:space="preserve">nowledge of </w:t>
      </w:r>
      <w:r w:rsidR="00484B91" w:rsidRPr="0069582A">
        <w:rPr>
          <w:color w:val="000000" w:themeColor="text1"/>
        </w:rPr>
        <w:t xml:space="preserve">MRH following hospital discharge can facilitate efficacious use of community resources by highlighting those at </w:t>
      </w:r>
      <w:r w:rsidR="00B93354" w:rsidRPr="0069582A">
        <w:rPr>
          <w:color w:val="000000" w:themeColor="text1"/>
        </w:rPr>
        <w:t xml:space="preserve">the </w:t>
      </w:r>
      <w:r w:rsidR="00484B91" w:rsidRPr="0069582A">
        <w:rPr>
          <w:color w:val="000000" w:themeColor="text1"/>
        </w:rPr>
        <w:t xml:space="preserve">greatest risk of harm and those needing close community follow-up. </w:t>
      </w:r>
    </w:p>
    <w:p w14:paraId="563F3EFC" w14:textId="53602B2D" w:rsidR="00B83EEB" w:rsidRDefault="00B83EEB" w:rsidP="00217CA0">
      <w:pPr>
        <w:jc w:val="both"/>
        <w:rPr>
          <w:i/>
          <w:iCs/>
        </w:rPr>
      </w:pPr>
    </w:p>
    <w:p w14:paraId="2B655130" w14:textId="47B9F351" w:rsidR="00B83EEB" w:rsidRPr="00B83EEB" w:rsidRDefault="00B83EEB" w:rsidP="00217CA0">
      <w:pPr>
        <w:jc w:val="both"/>
        <w:rPr>
          <w:i/>
          <w:iCs/>
          <w:color w:val="000000" w:themeColor="text1"/>
        </w:rPr>
      </w:pPr>
      <w:r>
        <w:rPr>
          <w:color w:val="000000" w:themeColor="text1"/>
        </w:rPr>
        <w:t xml:space="preserve">Pharmacist 4: </w:t>
      </w:r>
      <w:r w:rsidRPr="002539BF">
        <w:rPr>
          <w:i/>
          <w:iCs/>
          <w:color w:val="000000" w:themeColor="text1"/>
        </w:rPr>
        <w:t>“We used to</w:t>
      </w:r>
      <w:r w:rsidR="007673DC">
        <w:rPr>
          <w:i/>
          <w:iCs/>
          <w:color w:val="000000" w:themeColor="text1"/>
        </w:rPr>
        <w:t xml:space="preserve"> use</w:t>
      </w:r>
      <w:r w:rsidRPr="002539BF">
        <w:rPr>
          <w:i/>
          <w:iCs/>
          <w:color w:val="000000" w:themeColor="text1"/>
        </w:rPr>
        <w:t xml:space="preserve"> several AKI and antimicrobial </w:t>
      </w:r>
      <w:r w:rsidR="007673DC">
        <w:rPr>
          <w:i/>
          <w:iCs/>
          <w:color w:val="000000" w:themeColor="text1"/>
        </w:rPr>
        <w:t xml:space="preserve">tools </w:t>
      </w:r>
      <w:r w:rsidRPr="002539BF">
        <w:rPr>
          <w:i/>
          <w:iCs/>
          <w:color w:val="000000" w:themeColor="text1"/>
        </w:rPr>
        <w:t>before, but they failed to catch-on because there was no community integration</w:t>
      </w:r>
      <w:r>
        <w:rPr>
          <w:i/>
          <w:iCs/>
          <w:color w:val="000000" w:themeColor="text1"/>
        </w:rPr>
        <w:t>…</w:t>
      </w:r>
      <w:r w:rsidR="00D601A3">
        <w:rPr>
          <w:i/>
          <w:iCs/>
          <w:color w:val="000000" w:themeColor="text1"/>
        </w:rPr>
        <w:t>W</w:t>
      </w:r>
      <w:r w:rsidRPr="002539BF">
        <w:rPr>
          <w:i/>
          <w:iCs/>
          <w:color w:val="000000" w:themeColor="text1"/>
        </w:rPr>
        <w:t>hy am I going to do all the work of calculating risk for these patients</w:t>
      </w:r>
      <w:r w:rsidR="00D601A3">
        <w:rPr>
          <w:i/>
          <w:iCs/>
          <w:color w:val="000000" w:themeColor="text1"/>
        </w:rPr>
        <w:t xml:space="preserve"> and making changes </w:t>
      </w:r>
      <w:r w:rsidRPr="002539BF">
        <w:rPr>
          <w:i/>
          <w:iCs/>
          <w:color w:val="000000" w:themeColor="text1"/>
        </w:rPr>
        <w:t>if nothing is being followed up</w:t>
      </w:r>
      <w:r w:rsidR="00D601A3">
        <w:rPr>
          <w:i/>
          <w:iCs/>
          <w:color w:val="000000" w:themeColor="text1"/>
        </w:rPr>
        <w:t>?</w:t>
      </w:r>
      <w:r w:rsidRPr="002539BF">
        <w:rPr>
          <w:i/>
          <w:iCs/>
          <w:color w:val="000000" w:themeColor="text1"/>
        </w:rPr>
        <w:t>”</w:t>
      </w:r>
    </w:p>
    <w:p w14:paraId="655D760E" w14:textId="4D86E155" w:rsidR="00057D9E" w:rsidRPr="00EF7BCA" w:rsidRDefault="00057D9E" w:rsidP="00B34605">
      <w:pPr>
        <w:jc w:val="both"/>
      </w:pPr>
    </w:p>
    <w:p w14:paraId="4A7F6972" w14:textId="203907BB" w:rsidR="00057D9E" w:rsidRPr="00EF7BCA" w:rsidRDefault="00057D9E" w:rsidP="00B34605">
      <w:pPr>
        <w:jc w:val="both"/>
        <w:rPr>
          <w:u w:val="single"/>
        </w:rPr>
      </w:pPr>
      <w:r w:rsidRPr="00EF7BCA">
        <w:rPr>
          <w:u w:val="single"/>
        </w:rPr>
        <w:t xml:space="preserve">Barriers towards integration of the PRIME RPT into routine clinical use </w:t>
      </w:r>
    </w:p>
    <w:p w14:paraId="7BF5F686" w14:textId="77777777" w:rsidR="009F778A" w:rsidRPr="00EF7BCA" w:rsidRDefault="009F778A" w:rsidP="00B34605">
      <w:pPr>
        <w:jc w:val="both"/>
        <w:rPr>
          <w:color w:val="FF0000"/>
          <w:u w:val="single"/>
        </w:rPr>
      </w:pPr>
    </w:p>
    <w:p w14:paraId="5B8A14F2" w14:textId="50A74E61" w:rsidR="00C2023B" w:rsidRPr="0069582A" w:rsidRDefault="009F778A" w:rsidP="00B34605">
      <w:pPr>
        <w:jc w:val="both"/>
        <w:rPr>
          <w:color w:val="000000" w:themeColor="text1"/>
        </w:rPr>
      </w:pPr>
      <w:r w:rsidRPr="0069582A">
        <w:rPr>
          <w:color w:val="000000" w:themeColor="text1"/>
        </w:rPr>
        <w:t xml:space="preserve">The </w:t>
      </w:r>
      <w:r w:rsidR="00B93354" w:rsidRPr="0069582A">
        <w:rPr>
          <w:color w:val="000000" w:themeColor="text1"/>
        </w:rPr>
        <w:t xml:space="preserve">study </w:t>
      </w:r>
      <w:r w:rsidRPr="0069582A">
        <w:rPr>
          <w:color w:val="000000" w:themeColor="text1"/>
        </w:rPr>
        <w:t xml:space="preserve">pharmacists highlighted important barriers, which would hinder </w:t>
      </w:r>
      <w:r w:rsidR="00B93354" w:rsidRPr="0069582A">
        <w:rPr>
          <w:color w:val="000000" w:themeColor="text1"/>
        </w:rPr>
        <w:t xml:space="preserve">the </w:t>
      </w:r>
      <w:r w:rsidRPr="0069582A">
        <w:rPr>
          <w:color w:val="000000" w:themeColor="text1"/>
        </w:rPr>
        <w:t>use of the PRIME-RPT in routine clinical practice. These barriers included:</w:t>
      </w:r>
    </w:p>
    <w:p w14:paraId="42BF657A" w14:textId="4A9B6819" w:rsidR="00A75B87" w:rsidRPr="0069582A" w:rsidRDefault="00A75B87" w:rsidP="00A75B87">
      <w:pPr>
        <w:pStyle w:val="ListParagraph"/>
        <w:numPr>
          <w:ilvl w:val="0"/>
          <w:numId w:val="29"/>
        </w:numPr>
        <w:jc w:val="both"/>
        <w:rPr>
          <w:rFonts w:ascii="Times New Roman" w:hAnsi="Times New Roman" w:cs="Times New Roman"/>
          <w:color w:val="000000" w:themeColor="text1"/>
        </w:rPr>
      </w:pPr>
      <w:r w:rsidRPr="0069582A">
        <w:rPr>
          <w:rFonts w:ascii="Times New Roman" w:hAnsi="Times New Roman" w:cs="Times New Roman"/>
          <w:color w:val="000000" w:themeColor="text1"/>
        </w:rPr>
        <w:t xml:space="preserve">The tool can trigger stress and anxiety for both patients, </w:t>
      </w:r>
      <w:r w:rsidR="00BB58C5">
        <w:rPr>
          <w:rFonts w:ascii="Times New Roman" w:hAnsi="Times New Roman" w:cs="Times New Roman"/>
          <w:color w:val="000000" w:themeColor="text1"/>
        </w:rPr>
        <w:t>carers,</w:t>
      </w:r>
      <w:r w:rsidRPr="0069582A">
        <w:rPr>
          <w:rFonts w:ascii="Times New Roman" w:hAnsi="Times New Roman" w:cs="Times New Roman"/>
          <w:color w:val="000000" w:themeColor="text1"/>
        </w:rPr>
        <w:t xml:space="preserve"> and pharmacists</w:t>
      </w:r>
      <w:r w:rsidR="00840CA5" w:rsidRPr="0069582A">
        <w:rPr>
          <w:rFonts w:ascii="Times New Roman" w:hAnsi="Times New Roman" w:cs="Times New Roman"/>
          <w:color w:val="000000" w:themeColor="text1"/>
        </w:rPr>
        <w:t>,</w:t>
      </w:r>
    </w:p>
    <w:p w14:paraId="0673AD23" w14:textId="03F40062" w:rsidR="00C2023B" w:rsidRPr="0069582A" w:rsidRDefault="009F778A" w:rsidP="009F778A">
      <w:pPr>
        <w:pStyle w:val="ListParagraph"/>
        <w:numPr>
          <w:ilvl w:val="0"/>
          <w:numId w:val="29"/>
        </w:numPr>
        <w:jc w:val="both"/>
        <w:rPr>
          <w:rFonts w:ascii="Times New Roman" w:hAnsi="Times New Roman" w:cs="Times New Roman"/>
          <w:color w:val="000000" w:themeColor="text1"/>
        </w:rPr>
      </w:pPr>
      <w:r w:rsidRPr="0069582A">
        <w:rPr>
          <w:rFonts w:ascii="Times New Roman" w:hAnsi="Times New Roman" w:cs="Times New Roman"/>
          <w:color w:val="000000" w:themeColor="text1"/>
        </w:rPr>
        <w:t>The fact that t</w:t>
      </w:r>
      <w:r w:rsidR="00C2023B" w:rsidRPr="0069582A">
        <w:rPr>
          <w:rFonts w:ascii="Times New Roman" w:hAnsi="Times New Roman" w:cs="Times New Roman"/>
          <w:color w:val="000000" w:themeColor="text1"/>
        </w:rPr>
        <w:t>he tool is not accompanied with built-in interventions/solutions</w:t>
      </w:r>
      <w:r w:rsidR="00A75B87" w:rsidRPr="0069582A">
        <w:rPr>
          <w:rFonts w:ascii="Times New Roman" w:hAnsi="Times New Roman" w:cs="Times New Roman"/>
          <w:color w:val="000000" w:themeColor="text1"/>
        </w:rPr>
        <w:t>,</w:t>
      </w:r>
    </w:p>
    <w:p w14:paraId="38282413" w14:textId="622E76A5" w:rsidR="00C2023B" w:rsidRPr="0069582A" w:rsidRDefault="009F778A" w:rsidP="009F778A">
      <w:pPr>
        <w:pStyle w:val="ListParagraph"/>
        <w:numPr>
          <w:ilvl w:val="0"/>
          <w:numId w:val="29"/>
        </w:numPr>
        <w:jc w:val="both"/>
        <w:rPr>
          <w:rFonts w:ascii="Times New Roman" w:hAnsi="Times New Roman" w:cs="Times New Roman"/>
          <w:color w:val="000000" w:themeColor="text1"/>
        </w:rPr>
      </w:pPr>
      <w:r w:rsidRPr="0069582A">
        <w:rPr>
          <w:rFonts w:ascii="Times New Roman" w:hAnsi="Times New Roman" w:cs="Times New Roman"/>
          <w:color w:val="000000" w:themeColor="text1"/>
        </w:rPr>
        <w:t xml:space="preserve">The </w:t>
      </w:r>
      <w:r w:rsidR="00A75B87" w:rsidRPr="0069582A">
        <w:rPr>
          <w:rFonts w:ascii="Times New Roman" w:hAnsi="Times New Roman" w:cs="Times New Roman"/>
          <w:color w:val="000000" w:themeColor="text1"/>
        </w:rPr>
        <w:t>tool g</w:t>
      </w:r>
      <w:r w:rsidR="00C2023B" w:rsidRPr="0069582A">
        <w:rPr>
          <w:rFonts w:ascii="Times New Roman" w:hAnsi="Times New Roman" w:cs="Times New Roman"/>
          <w:color w:val="000000" w:themeColor="text1"/>
        </w:rPr>
        <w:t xml:space="preserve">ives </w:t>
      </w:r>
      <w:r w:rsidR="00A75B87" w:rsidRPr="0069582A">
        <w:rPr>
          <w:rFonts w:ascii="Times New Roman" w:hAnsi="Times New Roman" w:cs="Times New Roman"/>
          <w:color w:val="000000" w:themeColor="text1"/>
        </w:rPr>
        <w:t xml:space="preserve">a </w:t>
      </w:r>
      <w:r w:rsidR="00C2023B" w:rsidRPr="0069582A">
        <w:rPr>
          <w:rFonts w:ascii="Times New Roman" w:hAnsi="Times New Roman" w:cs="Times New Roman"/>
          <w:color w:val="000000" w:themeColor="text1"/>
        </w:rPr>
        <w:t>numerical score without categorisation</w:t>
      </w:r>
      <w:r w:rsidR="00840CA5" w:rsidRPr="0069582A">
        <w:rPr>
          <w:rFonts w:ascii="Times New Roman" w:hAnsi="Times New Roman" w:cs="Times New Roman"/>
          <w:color w:val="000000" w:themeColor="text1"/>
        </w:rPr>
        <w:t>.</w:t>
      </w:r>
    </w:p>
    <w:p w14:paraId="1F1C1D33" w14:textId="1498F71C" w:rsidR="00E26130" w:rsidRPr="0069582A" w:rsidRDefault="00E26130" w:rsidP="00B34605">
      <w:pPr>
        <w:jc w:val="both"/>
        <w:rPr>
          <w:color w:val="000000" w:themeColor="text1"/>
        </w:rPr>
      </w:pPr>
    </w:p>
    <w:p w14:paraId="725CCD03" w14:textId="4CD54894" w:rsidR="009B0C78" w:rsidRPr="0069582A" w:rsidRDefault="003F1D57" w:rsidP="00B34605">
      <w:pPr>
        <w:jc w:val="both"/>
        <w:rPr>
          <w:bCs/>
          <w:color w:val="000000" w:themeColor="text1"/>
        </w:rPr>
      </w:pPr>
      <w:r w:rsidRPr="0069582A">
        <w:rPr>
          <w:color w:val="000000" w:themeColor="text1"/>
        </w:rPr>
        <w:t>J</w:t>
      </w:r>
      <w:r w:rsidR="00E26130" w:rsidRPr="0069582A">
        <w:rPr>
          <w:color w:val="000000" w:themeColor="text1"/>
        </w:rPr>
        <w:t xml:space="preserve">unior pharmacists, </w:t>
      </w:r>
      <w:r w:rsidR="00967868" w:rsidRPr="0069582A">
        <w:rPr>
          <w:color w:val="000000" w:themeColor="text1"/>
        </w:rPr>
        <w:t>who</w:t>
      </w:r>
      <w:r w:rsidR="00E26130" w:rsidRPr="0069582A">
        <w:rPr>
          <w:color w:val="000000" w:themeColor="text1"/>
        </w:rPr>
        <w:t xml:space="preserve"> represented </w:t>
      </w:r>
      <w:r w:rsidR="00B704DF" w:rsidRPr="0069582A">
        <w:rPr>
          <w:color w:val="000000" w:themeColor="text1"/>
        </w:rPr>
        <w:t>five</w:t>
      </w:r>
      <w:r w:rsidR="00E26130" w:rsidRPr="0069582A">
        <w:rPr>
          <w:color w:val="000000" w:themeColor="text1"/>
        </w:rPr>
        <w:t xml:space="preserve"> of the ten</w:t>
      </w:r>
      <w:r w:rsidR="00E26130" w:rsidRPr="0069582A">
        <w:rPr>
          <w:bCs/>
          <w:color w:val="000000" w:themeColor="text1"/>
        </w:rPr>
        <w:t xml:space="preserve"> interviewees, stated extra knowledge of MRH risk could potentially </w:t>
      </w:r>
      <w:r w:rsidR="00B93354" w:rsidRPr="0069582A">
        <w:rPr>
          <w:bCs/>
          <w:color w:val="000000" w:themeColor="text1"/>
        </w:rPr>
        <w:t>affect</w:t>
      </w:r>
      <w:r w:rsidR="00E26130" w:rsidRPr="0069582A">
        <w:rPr>
          <w:bCs/>
          <w:color w:val="000000" w:themeColor="text1"/>
        </w:rPr>
        <w:t xml:space="preserve"> their confidence. Key concerns were a lack of guidance on specific interventions for patients at </w:t>
      </w:r>
      <w:r w:rsidR="00B93354" w:rsidRPr="0069582A">
        <w:rPr>
          <w:bCs/>
          <w:color w:val="000000" w:themeColor="text1"/>
        </w:rPr>
        <w:t xml:space="preserve">a </w:t>
      </w:r>
      <w:r w:rsidR="00E26130" w:rsidRPr="0069582A">
        <w:rPr>
          <w:bCs/>
          <w:color w:val="000000" w:themeColor="text1"/>
        </w:rPr>
        <w:t xml:space="preserve">given risk. </w:t>
      </w:r>
    </w:p>
    <w:p w14:paraId="30599E60" w14:textId="77777777" w:rsidR="009B0C78" w:rsidRDefault="009B0C78" w:rsidP="00B34605">
      <w:pPr>
        <w:jc w:val="both"/>
        <w:rPr>
          <w:bCs/>
        </w:rPr>
      </w:pPr>
    </w:p>
    <w:p w14:paraId="205C1DAE" w14:textId="2F608528" w:rsidR="00F02360" w:rsidRDefault="009B0C78" w:rsidP="00B34605">
      <w:pPr>
        <w:jc w:val="both"/>
        <w:rPr>
          <w:i/>
          <w:iCs/>
          <w:color w:val="000000" w:themeColor="text1"/>
        </w:rPr>
      </w:pPr>
      <w:r>
        <w:rPr>
          <w:bCs/>
        </w:rPr>
        <w:t xml:space="preserve">Pharmacist </w:t>
      </w:r>
      <w:r w:rsidR="00076C6C">
        <w:rPr>
          <w:bCs/>
        </w:rPr>
        <w:t>1</w:t>
      </w:r>
      <w:r>
        <w:rPr>
          <w:bCs/>
        </w:rPr>
        <w:t>:</w:t>
      </w:r>
      <w:r w:rsidR="003D1242">
        <w:rPr>
          <w:bCs/>
        </w:rPr>
        <w:t xml:space="preserve"> </w:t>
      </w:r>
      <w:r w:rsidR="00967868" w:rsidRPr="00EF7BCA">
        <w:rPr>
          <w:bCs/>
        </w:rPr>
        <w:t>“</w:t>
      </w:r>
      <w:r w:rsidR="00967868" w:rsidRPr="00EF7BCA">
        <w:rPr>
          <w:i/>
          <w:iCs/>
          <w:color w:val="000000" w:themeColor="text1"/>
        </w:rPr>
        <w:t xml:space="preserve">With the tool on its own, it's kind of left your own devices and what you think is sensible for the patient. I would like a bit of extra guidance.” </w:t>
      </w:r>
    </w:p>
    <w:p w14:paraId="4B170E2A" w14:textId="77777777" w:rsidR="00F02360" w:rsidRPr="003D1242" w:rsidRDefault="00F02360" w:rsidP="00B34605">
      <w:pPr>
        <w:jc w:val="both"/>
        <w:rPr>
          <w:color w:val="000000" w:themeColor="text1"/>
        </w:rPr>
      </w:pPr>
    </w:p>
    <w:p w14:paraId="69D99023" w14:textId="0058FBF2" w:rsidR="00F14D01" w:rsidRPr="004126F8" w:rsidRDefault="00967868" w:rsidP="00B34605">
      <w:pPr>
        <w:jc w:val="both"/>
        <w:rPr>
          <w:bCs/>
          <w:color w:val="000000" w:themeColor="text1"/>
        </w:rPr>
      </w:pPr>
      <w:r w:rsidRPr="00EF7BCA">
        <w:rPr>
          <w:bCs/>
          <w:color w:val="000000" w:themeColor="text1"/>
        </w:rPr>
        <w:t xml:space="preserve">All interviewed pharmacists noted </w:t>
      </w:r>
      <w:r w:rsidR="00E26130" w:rsidRPr="00EF7BCA">
        <w:rPr>
          <w:bCs/>
          <w:color w:val="000000" w:themeColor="text1"/>
        </w:rPr>
        <w:t>that being given the percentage risk of MRH without guidance could</w:t>
      </w:r>
      <w:r w:rsidR="00B56DFD" w:rsidRPr="00EF7BCA">
        <w:rPr>
          <w:bCs/>
          <w:color w:val="000000" w:themeColor="text1"/>
        </w:rPr>
        <w:t xml:space="preserve"> be</w:t>
      </w:r>
      <w:r w:rsidR="00E26130" w:rsidRPr="00EF7BCA">
        <w:rPr>
          <w:bCs/>
          <w:color w:val="000000" w:themeColor="text1"/>
        </w:rPr>
        <w:t xml:space="preserve"> overwhelming</w:t>
      </w:r>
      <w:r w:rsidRPr="00EF7BCA">
        <w:rPr>
          <w:bCs/>
          <w:color w:val="000000" w:themeColor="text1"/>
        </w:rPr>
        <w:t xml:space="preserve"> for less experienced colleagues without additional guidance.</w:t>
      </w:r>
      <w:r w:rsidR="004126F8">
        <w:rPr>
          <w:bCs/>
          <w:color w:val="000000" w:themeColor="text1"/>
        </w:rPr>
        <w:t xml:space="preserve"> </w:t>
      </w:r>
      <w:r w:rsidR="00A75B87" w:rsidRPr="00EF7BCA">
        <w:rPr>
          <w:bCs/>
          <w:color w:val="000000" w:themeColor="text1"/>
        </w:rPr>
        <w:t xml:space="preserve">Six of the ten interviewees </w:t>
      </w:r>
      <w:r w:rsidR="003452F2">
        <w:rPr>
          <w:bCs/>
          <w:color w:val="000000" w:themeColor="text1"/>
        </w:rPr>
        <w:t xml:space="preserve">agreed </w:t>
      </w:r>
      <w:r w:rsidR="003452F2">
        <w:rPr>
          <w:bCs/>
        </w:rPr>
        <w:t>f</w:t>
      </w:r>
      <w:r w:rsidR="00C07AD1">
        <w:rPr>
          <w:bCs/>
        </w:rPr>
        <w:t xml:space="preserve">ormalising definitions of </w:t>
      </w:r>
      <w:r w:rsidR="00C07AD1" w:rsidRPr="00EF7BCA">
        <w:rPr>
          <w:color w:val="000000" w:themeColor="text1"/>
        </w:rPr>
        <w:t>low, medium, and high</w:t>
      </w:r>
      <w:r w:rsidR="00C36D23">
        <w:rPr>
          <w:color w:val="000000" w:themeColor="text1"/>
        </w:rPr>
        <w:t>-</w:t>
      </w:r>
      <w:r w:rsidR="00C07AD1" w:rsidRPr="00EF7BCA">
        <w:rPr>
          <w:color w:val="000000" w:themeColor="text1"/>
        </w:rPr>
        <w:t>risk</w:t>
      </w:r>
      <w:r w:rsidR="00C07AD1">
        <w:rPr>
          <w:color w:val="000000" w:themeColor="text1"/>
        </w:rPr>
        <w:t xml:space="preserve"> with </w:t>
      </w:r>
      <w:r w:rsidR="00A543B4" w:rsidRPr="00EF7BCA">
        <w:t>development of a decision support tool</w:t>
      </w:r>
      <w:r w:rsidR="00A543B4">
        <w:t xml:space="preserve"> would help provide guidance for pharmacists.</w:t>
      </w:r>
    </w:p>
    <w:p w14:paraId="504C28DF" w14:textId="77777777" w:rsidR="00F14D01" w:rsidRDefault="00F14D01" w:rsidP="00B34605">
      <w:pPr>
        <w:jc w:val="both"/>
        <w:rPr>
          <w:bCs/>
        </w:rPr>
      </w:pPr>
    </w:p>
    <w:p w14:paraId="7359E011" w14:textId="3F2EF473" w:rsidR="00A75B87" w:rsidRPr="00EF7BCA" w:rsidRDefault="00A543B4" w:rsidP="00B34605">
      <w:pPr>
        <w:jc w:val="both"/>
        <w:rPr>
          <w:color w:val="000000" w:themeColor="text1"/>
        </w:rPr>
      </w:pPr>
      <w:r>
        <w:rPr>
          <w:bCs/>
        </w:rPr>
        <w:t xml:space="preserve">Pharmacist 7: </w:t>
      </w:r>
      <w:r w:rsidR="00A75B87" w:rsidRPr="00EF7BCA">
        <w:rPr>
          <w:bCs/>
        </w:rPr>
        <w:t>“</w:t>
      </w:r>
      <w:r>
        <w:rPr>
          <w:i/>
          <w:iCs/>
          <w:color w:val="000000" w:themeColor="text1"/>
        </w:rPr>
        <w:t xml:space="preserve">I think you need some sort of guidance on what to do once you work out the risk otherwise it would just be left to person </w:t>
      </w:r>
      <w:r w:rsidR="00E26970">
        <w:rPr>
          <w:i/>
          <w:iCs/>
          <w:color w:val="000000" w:themeColor="text1"/>
        </w:rPr>
        <w:t>looking at</w:t>
      </w:r>
      <w:r>
        <w:rPr>
          <w:i/>
          <w:iCs/>
          <w:color w:val="000000" w:themeColor="text1"/>
        </w:rPr>
        <w:t xml:space="preserve"> the medications and it won’t be very systematic and will likely vary from pharmacist to pharmacist.</w:t>
      </w:r>
      <w:r w:rsidR="00E26970">
        <w:rPr>
          <w:i/>
          <w:iCs/>
          <w:color w:val="000000" w:themeColor="text1"/>
        </w:rPr>
        <w:t>”</w:t>
      </w:r>
    </w:p>
    <w:p w14:paraId="1AE6DF26" w14:textId="77777777" w:rsidR="00B4437F" w:rsidRPr="00EF7BCA" w:rsidRDefault="00B4437F" w:rsidP="00B34605">
      <w:pPr>
        <w:jc w:val="both"/>
        <w:rPr>
          <w:bCs/>
        </w:rPr>
      </w:pPr>
    </w:p>
    <w:p w14:paraId="714E515D" w14:textId="23F5E159" w:rsidR="00AA4F60" w:rsidRPr="00EF7BCA" w:rsidRDefault="00967868" w:rsidP="00B34605">
      <w:pPr>
        <w:jc w:val="both"/>
        <w:rPr>
          <w:bCs/>
          <w:u w:val="single"/>
        </w:rPr>
      </w:pPr>
      <w:r w:rsidRPr="00EF7BCA">
        <w:rPr>
          <w:bCs/>
          <w:u w:val="single"/>
        </w:rPr>
        <w:t>Limitations of the PRIME</w:t>
      </w:r>
      <w:r w:rsidR="00A75B87" w:rsidRPr="00EF7BCA">
        <w:rPr>
          <w:bCs/>
          <w:u w:val="single"/>
        </w:rPr>
        <w:t>-</w:t>
      </w:r>
      <w:r w:rsidRPr="00EF7BCA">
        <w:rPr>
          <w:bCs/>
          <w:u w:val="single"/>
        </w:rPr>
        <w:t>RPT</w:t>
      </w:r>
    </w:p>
    <w:p w14:paraId="47B79382" w14:textId="68A2CD39" w:rsidR="00E14E33" w:rsidRPr="00EF7BCA" w:rsidRDefault="00E14E33" w:rsidP="00B34605">
      <w:pPr>
        <w:jc w:val="both"/>
        <w:rPr>
          <w:bCs/>
          <w:u w:val="single"/>
        </w:rPr>
      </w:pPr>
    </w:p>
    <w:p w14:paraId="48A7EC3B" w14:textId="5A1EF67B" w:rsidR="00E14E33" w:rsidRPr="0069582A" w:rsidRDefault="00043A0D" w:rsidP="00B34605">
      <w:pPr>
        <w:jc w:val="both"/>
        <w:rPr>
          <w:bCs/>
          <w:color w:val="000000" w:themeColor="text1"/>
        </w:rPr>
      </w:pPr>
      <w:r>
        <w:rPr>
          <w:bCs/>
        </w:rPr>
        <w:t>Nine</w:t>
      </w:r>
      <w:r w:rsidR="00DA17B1" w:rsidRPr="0069582A">
        <w:rPr>
          <w:bCs/>
          <w:color w:val="000000" w:themeColor="text1"/>
        </w:rPr>
        <w:t xml:space="preserve"> pharmacists highlight</w:t>
      </w:r>
      <w:r w:rsidR="00804AB5" w:rsidRPr="0069582A">
        <w:rPr>
          <w:bCs/>
          <w:color w:val="000000" w:themeColor="text1"/>
        </w:rPr>
        <w:t>ed</w:t>
      </w:r>
      <w:r w:rsidR="00DA17B1" w:rsidRPr="0069582A">
        <w:rPr>
          <w:bCs/>
          <w:color w:val="000000" w:themeColor="text1"/>
        </w:rPr>
        <w:t xml:space="preserve"> important limitations</w:t>
      </w:r>
      <w:r w:rsidR="00A75B87" w:rsidRPr="0069582A">
        <w:rPr>
          <w:bCs/>
          <w:color w:val="000000" w:themeColor="text1"/>
        </w:rPr>
        <w:t xml:space="preserve"> of the tool itself</w:t>
      </w:r>
      <w:r>
        <w:rPr>
          <w:bCs/>
          <w:color w:val="000000" w:themeColor="text1"/>
        </w:rPr>
        <w:t xml:space="preserve"> </w:t>
      </w:r>
      <w:r w:rsidR="000E797C" w:rsidRPr="0069582A">
        <w:rPr>
          <w:bCs/>
          <w:color w:val="000000" w:themeColor="text1"/>
        </w:rPr>
        <w:t>includ</w:t>
      </w:r>
      <w:r>
        <w:rPr>
          <w:bCs/>
          <w:color w:val="000000" w:themeColor="text1"/>
        </w:rPr>
        <w:t>ing</w:t>
      </w:r>
      <w:r w:rsidR="00FB03F4" w:rsidRPr="0069582A">
        <w:rPr>
          <w:bCs/>
          <w:color w:val="000000" w:themeColor="text1"/>
        </w:rPr>
        <w:t>:</w:t>
      </w:r>
    </w:p>
    <w:p w14:paraId="7A9E3635" w14:textId="2E643FF1" w:rsidR="00FB03F4" w:rsidRPr="0069582A" w:rsidRDefault="009E2716" w:rsidP="00FB03F4">
      <w:pPr>
        <w:pStyle w:val="ListParagraph"/>
        <w:numPr>
          <w:ilvl w:val="0"/>
          <w:numId w:val="13"/>
        </w:numPr>
        <w:jc w:val="both"/>
        <w:rPr>
          <w:rFonts w:ascii="Times New Roman" w:hAnsi="Times New Roman" w:cs="Times New Roman"/>
          <w:color w:val="000000" w:themeColor="text1"/>
        </w:rPr>
      </w:pPr>
      <w:r>
        <w:rPr>
          <w:rFonts w:ascii="Times New Roman" w:hAnsi="Times New Roman" w:cs="Times New Roman"/>
          <w:color w:val="000000" w:themeColor="text1"/>
        </w:rPr>
        <w:t>M</w:t>
      </w:r>
      <w:r w:rsidR="00FB03F4" w:rsidRPr="0069582A">
        <w:rPr>
          <w:rFonts w:ascii="Times New Roman" w:hAnsi="Times New Roman" w:cs="Times New Roman"/>
          <w:color w:val="000000" w:themeColor="text1"/>
        </w:rPr>
        <w:t>edicine interactions</w:t>
      </w:r>
      <w:r w:rsidR="001F7AAD" w:rsidRPr="0069582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not </w:t>
      </w:r>
      <w:r w:rsidR="00FF3F89">
        <w:rPr>
          <w:rFonts w:ascii="Times New Roman" w:hAnsi="Times New Roman" w:cs="Times New Roman"/>
          <w:color w:val="000000" w:themeColor="text1"/>
        </w:rPr>
        <w:t>highlighted</w:t>
      </w:r>
      <w:r w:rsidR="00804AB5" w:rsidRPr="0069582A">
        <w:rPr>
          <w:rFonts w:ascii="Times New Roman" w:hAnsi="Times New Roman" w:cs="Times New Roman"/>
          <w:color w:val="000000" w:themeColor="text1"/>
        </w:rPr>
        <w:t>,</w:t>
      </w:r>
    </w:p>
    <w:p w14:paraId="5936EA64" w14:textId="6504732D" w:rsidR="002F4B19" w:rsidRPr="0069582A" w:rsidRDefault="00E61C24" w:rsidP="002F4B19">
      <w:pPr>
        <w:pStyle w:val="ListParagraph"/>
        <w:numPr>
          <w:ilvl w:val="0"/>
          <w:numId w:val="13"/>
        </w:numPr>
        <w:jc w:val="both"/>
        <w:rPr>
          <w:rFonts w:ascii="Times New Roman" w:hAnsi="Times New Roman" w:cs="Times New Roman"/>
          <w:color w:val="000000" w:themeColor="text1"/>
        </w:rPr>
      </w:pPr>
      <w:r>
        <w:rPr>
          <w:rFonts w:ascii="Times New Roman" w:hAnsi="Times New Roman" w:cs="Times New Roman"/>
          <w:color w:val="000000" w:themeColor="text1"/>
        </w:rPr>
        <w:t>R</w:t>
      </w:r>
      <w:r w:rsidR="002F4B19" w:rsidRPr="0069582A">
        <w:rPr>
          <w:rFonts w:ascii="Times New Roman" w:hAnsi="Times New Roman" w:cs="Times New Roman"/>
          <w:color w:val="000000" w:themeColor="text1"/>
        </w:rPr>
        <w:t xml:space="preserve">isk of </w:t>
      </w:r>
      <w:r w:rsidR="005A44D2" w:rsidRPr="0069582A">
        <w:rPr>
          <w:rFonts w:ascii="Times New Roman" w:hAnsi="Times New Roman" w:cs="Times New Roman"/>
          <w:color w:val="000000" w:themeColor="text1"/>
        </w:rPr>
        <w:t xml:space="preserve">starting new </w:t>
      </w:r>
      <w:r w:rsidR="002F4B19" w:rsidRPr="0069582A">
        <w:rPr>
          <w:rFonts w:ascii="Times New Roman" w:hAnsi="Times New Roman" w:cs="Times New Roman"/>
          <w:color w:val="000000" w:themeColor="text1"/>
        </w:rPr>
        <w:t>medicine</w:t>
      </w:r>
      <w:r w:rsidR="005A44D2" w:rsidRPr="0069582A">
        <w:rPr>
          <w:rFonts w:ascii="Times New Roman" w:hAnsi="Times New Roman" w:cs="Times New Roman"/>
          <w:color w:val="000000" w:themeColor="text1"/>
        </w:rPr>
        <w:t>s</w:t>
      </w:r>
      <w:r w:rsidR="002F4B19" w:rsidRPr="0069582A">
        <w:rPr>
          <w:rFonts w:ascii="Times New Roman" w:hAnsi="Times New Roman" w:cs="Times New Roman"/>
          <w:color w:val="000000" w:themeColor="text1"/>
        </w:rPr>
        <w:t xml:space="preserve"> not picked up by tool</w:t>
      </w:r>
      <w:r w:rsidR="005A44D2" w:rsidRPr="0069582A">
        <w:rPr>
          <w:rFonts w:ascii="Times New Roman" w:hAnsi="Times New Roman" w:cs="Times New Roman"/>
          <w:color w:val="000000" w:themeColor="text1"/>
        </w:rPr>
        <w:t>,</w:t>
      </w:r>
    </w:p>
    <w:p w14:paraId="11924A07" w14:textId="23F63DD0" w:rsidR="00321AC6" w:rsidRPr="0069582A" w:rsidRDefault="00321AC6" w:rsidP="00FB03F4">
      <w:pPr>
        <w:pStyle w:val="ListParagraph"/>
        <w:numPr>
          <w:ilvl w:val="0"/>
          <w:numId w:val="13"/>
        </w:numPr>
        <w:jc w:val="both"/>
        <w:rPr>
          <w:rFonts w:ascii="Times New Roman" w:hAnsi="Times New Roman" w:cs="Times New Roman"/>
          <w:color w:val="000000" w:themeColor="text1"/>
        </w:rPr>
      </w:pPr>
      <w:r w:rsidRPr="0069582A">
        <w:rPr>
          <w:rFonts w:ascii="Times New Roman" w:hAnsi="Times New Roman" w:cs="Times New Roman"/>
          <w:color w:val="000000" w:themeColor="text1"/>
        </w:rPr>
        <w:t>Underestimation of risk in non-</w:t>
      </w:r>
      <w:r w:rsidR="001D2FC0" w:rsidRPr="0069582A">
        <w:rPr>
          <w:rFonts w:ascii="Times New Roman" w:hAnsi="Times New Roman" w:cs="Times New Roman"/>
          <w:color w:val="000000" w:themeColor="text1"/>
        </w:rPr>
        <w:t>adherent</w:t>
      </w:r>
      <w:r w:rsidRPr="0069582A">
        <w:rPr>
          <w:rFonts w:ascii="Times New Roman" w:hAnsi="Times New Roman" w:cs="Times New Roman"/>
          <w:color w:val="000000" w:themeColor="text1"/>
        </w:rPr>
        <w:t xml:space="preserve"> patients</w:t>
      </w:r>
      <w:r w:rsidR="00BA78CD">
        <w:rPr>
          <w:rFonts w:ascii="Times New Roman" w:hAnsi="Times New Roman" w:cs="Times New Roman"/>
          <w:color w:val="000000" w:themeColor="text1"/>
        </w:rPr>
        <w:t>.</w:t>
      </w:r>
    </w:p>
    <w:p w14:paraId="4E09C101" w14:textId="057679D5" w:rsidR="00A35501" w:rsidRPr="00EF7BCA" w:rsidRDefault="00A35501" w:rsidP="00A35501">
      <w:pPr>
        <w:jc w:val="both"/>
        <w:rPr>
          <w:i/>
          <w:iCs/>
          <w:color w:val="000000" w:themeColor="text1"/>
        </w:rPr>
      </w:pPr>
    </w:p>
    <w:p w14:paraId="370B94F7" w14:textId="44B25339" w:rsidR="001F7AAD" w:rsidRDefault="003035AC" w:rsidP="00A35501">
      <w:pPr>
        <w:jc w:val="both"/>
        <w:rPr>
          <w:color w:val="000000" w:themeColor="text1"/>
        </w:rPr>
      </w:pPr>
      <w:r w:rsidRPr="00EF7BCA">
        <w:rPr>
          <w:color w:val="000000" w:themeColor="text1"/>
        </w:rPr>
        <w:t>P</w:t>
      </w:r>
      <w:r w:rsidR="00AA4F60" w:rsidRPr="00EF7BCA">
        <w:rPr>
          <w:color w:val="000000" w:themeColor="text1"/>
        </w:rPr>
        <w:t>olypharmacy features as an important predictor of harm</w:t>
      </w:r>
      <w:r w:rsidRPr="00EF7BCA">
        <w:rPr>
          <w:color w:val="000000" w:themeColor="text1"/>
        </w:rPr>
        <w:t xml:space="preserve"> however, </w:t>
      </w:r>
      <w:r w:rsidR="00AA4F60" w:rsidRPr="00EF7BCA">
        <w:rPr>
          <w:color w:val="000000" w:themeColor="text1"/>
        </w:rPr>
        <w:t>the tool does not highlight potential drug interactions</w:t>
      </w:r>
      <w:r w:rsidR="00AA4F60" w:rsidRPr="00EF7BCA">
        <w:rPr>
          <w:bCs/>
        </w:rPr>
        <w:t xml:space="preserve">. </w:t>
      </w:r>
      <w:r w:rsidR="001F7AAD" w:rsidRPr="00EF7BCA">
        <w:rPr>
          <w:color w:val="000000" w:themeColor="text1"/>
        </w:rPr>
        <w:t>In case study</w:t>
      </w:r>
      <w:r w:rsidR="00A97165">
        <w:rPr>
          <w:color w:val="000000" w:themeColor="text1"/>
        </w:rPr>
        <w:t xml:space="preserve"> 3</w:t>
      </w:r>
      <w:r w:rsidR="001F7AAD" w:rsidRPr="00EF7BCA">
        <w:rPr>
          <w:color w:val="000000" w:themeColor="text1"/>
        </w:rPr>
        <w:t xml:space="preserve">, </w:t>
      </w:r>
      <w:r w:rsidR="0002567B">
        <w:rPr>
          <w:color w:val="000000" w:themeColor="text1"/>
        </w:rPr>
        <w:t>the</w:t>
      </w:r>
      <w:r w:rsidR="001F7AAD" w:rsidRPr="00EF7BCA">
        <w:rPr>
          <w:color w:val="000000" w:themeColor="text1"/>
        </w:rPr>
        <w:t xml:space="preserve"> patient </w:t>
      </w:r>
      <w:r w:rsidR="0002567B">
        <w:rPr>
          <w:color w:val="000000" w:themeColor="text1"/>
        </w:rPr>
        <w:t>was on nine medications including</w:t>
      </w:r>
      <w:r w:rsidR="0002567B" w:rsidRPr="0002567B">
        <w:rPr>
          <w:color w:val="000000" w:themeColor="text1"/>
        </w:rPr>
        <w:t xml:space="preserve"> </w:t>
      </w:r>
      <w:r w:rsidR="0002567B" w:rsidRPr="00EF7BCA">
        <w:rPr>
          <w:color w:val="000000" w:themeColor="text1"/>
        </w:rPr>
        <w:t>apixaban for atrial fibrillation and aspirin for previous transient ischaemic attacks</w:t>
      </w:r>
      <w:r w:rsidR="0002567B">
        <w:rPr>
          <w:color w:val="000000" w:themeColor="text1"/>
        </w:rPr>
        <w:t xml:space="preserve">. </w:t>
      </w:r>
      <w:r w:rsidR="000B3AF2">
        <w:rPr>
          <w:color w:val="000000" w:themeColor="text1"/>
        </w:rPr>
        <w:t>Calculated</w:t>
      </w:r>
      <w:r w:rsidR="0002567B">
        <w:rPr>
          <w:color w:val="000000" w:themeColor="text1"/>
        </w:rPr>
        <w:t xml:space="preserve"> MRH risk as per the PRIME-RPT was </w:t>
      </w:r>
      <w:r w:rsidR="001E25E8" w:rsidRPr="00EF7BCA">
        <w:rPr>
          <w:color w:val="000000" w:themeColor="text1"/>
        </w:rPr>
        <w:t>29%</w:t>
      </w:r>
      <w:r w:rsidR="0002567B">
        <w:rPr>
          <w:color w:val="000000" w:themeColor="text1"/>
        </w:rPr>
        <w:t xml:space="preserve">. </w:t>
      </w:r>
      <w:r w:rsidR="00804AB5" w:rsidRPr="00EF7BCA">
        <w:rPr>
          <w:color w:val="000000" w:themeColor="text1"/>
        </w:rPr>
        <w:t xml:space="preserve">Four </w:t>
      </w:r>
      <w:r w:rsidR="001F7AAD" w:rsidRPr="00EF7BCA">
        <w:rPr>
          <w:color w:val="000000" w:themeColor="text1"/>
        </w:rPr>
        <w:t xml:space="preserve">pharmacists highlighted this </w:t>
      </w:r>
      <w:r w:rsidR="00804AB5" w:rsidRPr="00EF7BCA">
        <w:rPr>
          <w:color w:val="000000" w:themeColor="text1"/>
        </w:rPr>
        <w:t xml:space="preserve">was a </w:t>
      </w:r>
      <w:r w:rsidR="00804AB5" w:rsidRPr="0069582A">
        <w:rPr>
          <w:color w:val="000000" w:themeColor="text1"/>
        </w:rPr>
        <w:lastRenderedPageBreak/>
        <w:t xml:space="preserve">potential underestimation of risk </w:t>
      </w:r>
      <w:r w:rsidR="001E25E8" w:rsidRPr="0069582A">
        <w:rPr>
          <w:color w:val="000000" w:themeColor="text1"/>
        </w:rPr>
        <w:t>because of the risk of significant bleeding</w:t>
      </w:r>
      <w:r w:rsidR="000B3AF2">
        <w:rPr>
          <w:color w:val="000000" w:themeColor="text1"/>
        </w:rPr>
        <w:t>.</w:t>
      </w:r>
      <w:r w:rsidR="001E25E8" w:rsidRPr="0069582A">
        <w:rPr>
          <w:color w:val="000000" w:themeColor="text1"/>
        </w:rPr>
        <w:t xml:space="preserve"> </w:t>
      </w:r>
      <w:r w:rsidR="00F65EDE" w:rsidRPr="0069582A">
        <w:rPr>
          <w:color w:val="000000" w:themeColor="text1"/>
        </w:rPr>
        <w:t>Consequently, t</w:t>
      </w:r>
      <w:r w:rsidR="00804AB5" w:rsidRPr="0069582A">
        <w:rPr>
          <w:color w:val="000000" w:themeColor="text1"/>
        </w:rPr>
        <w:t>he PRIME</w:t>
      </w:r>
      <w:r w:rsidR="000B3AF2">
        <w:rPr>
          <w:color w:val="000000" w:themeColor="text1"/>
        </w:rPr>
        <w:t>-</w:t>
      </w:r>
      <w:r w:rsidR="00804AB5" w:rsidRPr="0069582A">
        <w:rPr>
          <w:color w:val="000000" w:themeColor="text1"/>
        </w:rPr>
        <w:t xml:space="preserve">RPT </w:t>
      </w:r>
      <w:r w:rsidR="00F65EDE" w:rsidRPr="0069582A">
        <w:rPr>
          <w:color w:val="000000" w:themeColor="text1"/>
        </w:rPr>
        <w:t xml:space="preserve">could potentially underestimate MRH </w:t>
      </w:r>
      <w:r w:rsidR="000B3AF2">
        <w:rPr>
          <w:color w:val="000000" w:themeColor="text1"/>
        </w:rPr>
        <w:t xml:space="preserve">risk </w:t>
      </w:r>
      <w:r w:rsidR="00F65EDE" w:rsidRPr="0069582A">
        <w:rPr>
          <w:color w:val="000000" w:themeColor="text1"/>
        </w:rPr>
        <w:t xml:space="preserve">in </w:t>
      </w:r>
      <w:r w:rsidR="001D2FC0" w:rsidRPr="0069582A">
        <w:rPr>
          <w:color w:val="000000" w:themeColor="text1"/>
        </w:rPr>
        <w:t>patients</w:t>
      </w:r>
      <w:r w:rsidR="00F65EDE" w:rsidRPr="0069582A">
        <w:rPr>
          <w:color w:val="000000" w:themeColor="text1"/>
        </w:rPr>
        <w:t xml:space="preserve"> </w:t>
      </w:r>
      <w:r w:rsidR="000B3AF2">
        <w:rPr>
          <w:color w:val="000000" w:themeColor="text1"/>
        </w:rPr>
        <w:t>with potentially dangerous</w:t>
      </w:r>
      <w:r w:rsidR="00F65EDE" w:rsidRPr="0069582A">
        <w:rPr>
          <w:color w:val="000000" w:themeColor="text1"/>
        </w:rPr>
        <w:t xml:space="preserve"> </w:t>
      </w:r>
      <w:r w:rsidR="001D2FC0" w:rsidRPr="0069582A">
        <w:rPr>
          <w:color w:val="000000" w:themeColor="text1"/>
        </w:rPr>
        <w:t>medicine</w:t>
      </w:r>
      <w:r w:rsidR="00F65EDE" w:rsidRPr="0069582A">
        <w:rPr>
          <w:color w:val="000000" w:themeColor="text1"/>
        </w:rPr>
        <w:t xml:space="preserve"> interactions.</w:t>
      </w:r>
    </w:p>
    <w:p w14:paraId="5EAC048E" w14:textId="0837A9F6" w:rsidR="00AB5128" w:rsidRDefault="00AB5128" w:rsidP="00A35501">
      <w:pPr>
        <w:jc w:val="both"/>
        <w:rPr>
          <w:color w:val="000000" w:themeColor="text1"/>
        </w:rPr>
      </w:pPr>
    </w:p>
    <w:p w14:paraId="5A7FE4D5" w14:textId="701F9427" w:rsidR="00AB5128" w:rsidRPr="0069582A" w:rsidRDefault="00AB5128" w:rsidP="00A35501">
      <w:pPr>
        <w:jc w:val="both"/>
        <w:rPr>
          <w:bCs/>
          <w:color w:val="000000" w:themeColor="text1"/>
          <w:u w:val="single"/>
        </w:rPr>
      </w:pPr>
      <w:r>
        <w:rPr>
          <w:color w:val="000000" w:themeColor="text1"/>
        </w:rPr>
        <w:t xml:space="preserve">Pharmacist 3: </w:t>
      </w:r>
      <w:r w:rsidRPr="007944D4">
        <w:rPr>
          <w:i/>
          <w:iCs/>
          <w:color w:val="000000" w:themeColor="text1"/>
        </w:rPr>
        <w:t>“Why is she on both antiplatelet and DOAC? I would want to check if this is intentional or not because that is a potentially harmful drug interaction.”</w:t>
      </w:r>
    </w:p>
    <w:p w14:paraId="68744CAC" w14:textId="50AE50B4" w:rsidR="000F0261" w:rsidRPr="00EF7BCA" w:rsidRDefault="000F0261" w:rsidP="00A35501">
      <w:pPr>
        <w:jc w:val="both"/>
        <w:rPr>
          <w:color w:val="000000" w:themeColor="text1"/>
        </w:rPr>
      </w:pPr>
    </w:p>
    <w:p w14:paraId="652A54E0" w14:textId="365C32D0" w:rsidR="00EC5FB1" w:rsidRPr="00EF7BCA" w:rsidRDefault="00CD3086" w:rsidP="00EC5FB1">
      <w:pPr>
        <w:jc w:val="both"/>
        <w:rPr>
          <w:color w:val="000000" w:themeColor="text1"/>
        </w:rPr>
      </w:pPr>
      <w:r>
        <w:rPr>
          <w:color w:val="000000" w:themeColor="text1"/>
        </w:rPr>
        <w:t>P</w:t>
      </w:r>
      <w:r w:rsidR="000F0261" w:rsidRPr="00EF7BCA">
        <w:rPr>
          <w:color w:val="000000" w:themeColor="text1"/>
        </w:rPr>
        <w:t xml:space="preserve">harmacist </w:t>
      </w:r>
      <w:r>
        <w:rPr>
          <w:color w:val="000000" w:themeColor="text1"/>
        </w:rPr>
        <w:t xml:space="preserve">9 </w:t>
      </w:r>
      <w:r w:rsidR="000F0261" w:rsidRPr="00EF7BCA">
        <w:rPr>
          <w:color w:val="000000" w:themeColor="text1"/>
        </w:rPr>
        <w:t xml:space="preserve">expressed concern that the tool </w:t>
      </w:r>
      <w:r w:rsidR="000F0261" w:rsidRPr="00EF7BCA">
        <w:rPr>
          <w:i/>
          <w:iCs/>
          <w:color w:val="000000" w:themeColor="text1"/>
        </w:rPr>
        <w:t>“focuses more on the chronic medication risk rather than the acute medicine risk.”</w:t>
      </w:r>
      <w:r w:rsidR="00F871EB">
        <w:rPr>
          <w:color w:val="000000" w:themeColor="text1"/>
        </w:rPr>
        <w:t xml:space="preserve"> </w:t>
      </w:r>
      <w:r w:rsidR="000B40E3">
        <w:rPr>
          <w:color w:val="000000" w:themeColor="text1"/>
        </w:rPr>
        <w:t xml:space="preserve">In case </w:t>
      </w:r>
      <w:r w:rsidR="00B92D2A">
        <w:rPr>
          <w:color w:val="000000" w:themeColor="text1"/>
        </w:rPr>
        <w:t>study 1</w:t>
      </w:r>
      <w:r w:rsidR="000B40E3">
        <w:rPr>
          <w:color w:val="000000" w:themeColor="text1"/>
        </w:rPr>
        <w:t xml:space="preserve">, the patient </w:t>
      </w:r>
      <w:r w:rsidR="00936449" w:rsidRPr="00EF7BCA">
        <w:rPr>
          <w:color w:val="000000" w:themeColor="text1"/>
        </w:rPr>
        <w:t xml:space="preserve">was prescribed co-amoxiclav for raised inflammatory markers but no overt signs of infection. </w:t>
      </w:r>
      <w:r w:rsidR="00EC5FB1" w:rsidRPr="00EF7BCA">
        <w:rPr>
          <w:color w:val="000000" w:themeColor="text1"/>
        </w:rPr>
        <w:t>The acute risk of starting new medications is not explicitly considered when calculating MRH risk using the PRIME RPT.</w:t>
      </w:r>
    </w:p>
    <w:p w14:paraId="0AD208AF" w14:textId="77777777" w:rsidR="00CD3086" w:rsidRDefault="00CD3086" w:rsidP="00A35501">
      <w:pPr>
        <w:jc w:val="both"/>
        <w:rPr>
          <w:color w:val="000000" w:themeColor="text1"/>
        </w:rPr>
      </w:pPr>
    </w:p>
    <w:p w14:paraId="57876869" w14:textId="080D936E" w:rsidR="00CD3086" w:rsidRPr="000B40E3" w:rsidRDefault="00CD3086" w:rsidP="00A35501">
      <w:pPr>
        <w:jc w:val="both"/>
        <w:rPr>
          <w:color w:val="000000" w:themeColor="text1"/>
        </w:rPr>
      </w:pPr>
      <w:r>
        <w:rPr>
          <w:color w:val="000000" w:themeColor="text1"/>
        </w:rPr>
        <w:t>Pharmacist 9:</w:t>
      </w:r>
      <w:r w:rsidR="00936449" w:rsidRPr="00EF7BCA">
        <w:rPr>
          <w:i/>
          <w:iCs/>
          <w:color w:val="000000" w:themeColor="text1"/>
        </w:rPr>
        <w:t>“</w:t>
      </w:r>
      <w:r w:rsidR="000F0261" w:rsidRPr="00EF7BCA">
        <w:rPr>
          <w:i/>
          <w:iCs/>
          <w:color w:val="000000" w:themeColor="text1"/>
        </w:rPr>
        <w:t>In the short term it can increase the risk of harm</w:t>
      </w:r>
      <w:r w:rsidR="00936449" w:rsidRPr="00EF7BCA">
        <w:rPr>
          <w:i/>
          <w:iCs/>
          <w:color w:val="000000" w:themeColor="text1"/>
        </w:rPr>
        <w:t xml:space="preserve"> from Closterium difficile infection</w:t>
      </w:r>
      <w:r w:rsidR="00824243">
        <w:rPr>
          <w:i/>
          <w:iCs/>
          <w:color w:val="000000" w:themeColor="text1"/>
        </w:rPr>
        <w:t>..</w:t>
      </w:r>
      <w:r w:rsidR="001F38D5">
        <w:rPr>
          <w:i/>
          <w:iCs/>
          <w:color w:val="000000" w:themeColor="text1"/>
        </w:rPr>
        <w:t>.</w:t>
      </w:r>
      <w:r w:rsidR="000F0261" w:rsidRPr="00EF7BCA">
        <w:rPr>
          <w:i/>
          <w:iCs/>
          <w:color w:val="000000" w:themeColor="text1"/>
        </w:rPr>
        <w:t xml:space="preserve">That </w:t>
      </w:r>
      <w:r w:rsidR="001F38D5">
        <w:rPr>
          <w:i/>
          <w:iCs/>
          <w:color w:val="000000" w:themeColor="text1"/>
        </w:rPr>
        <w:t>risk is</w:t>
      </w:r>
      <w:r w:rsidR="000F0261" w:rsidRPr="00EF7BCA">
        <w:rPr>
          <w:i/>
          <w:iCs/>
          <w:color w:val="000000" w:themeColor="text1"/>
        </w:rPr>
        <w:t>n</w:t>
      </w:r>
      <w:r w:rsidR="001F38D5">
        <w:rPr>
          <w:i/>
          <w:iCs/>
          <w:color w:val="000000" w:themeColor="text1"/>
        </w:rPr>
        <w:t>’</w:t>
      </w:r>
      <w:r w:rsidR="000F0261" w:rsidRPr="00EF7BCA">
        <w:rPr>
          <w:i/>
          <w:iCs/>
          <w:color w:val="000000" w:themeColor="text1"/>
        </w:rPr>
        <w:t>t picked up by the tool.</w:t>
      </w:r>
      <w:r w:rsidR="00936449" w:rsidRPr="00EF7BCA">
        <w:rPr>
          <w:i/>
          <w:iCs/>
          <w:color w:val="000000" w:themeColor="text1"/>
        </w:rPr>
        <w:t>”</w:t>
      </w:r>
    </w:p>
    <w:p w14:paraId="0C0E47AB" w14:textId="1AE03201" w:rsidR="00F65EDE" w:rsidRPr="00EF7BCA" w:rsidRDefault="00F65EDE" w:rsidP="00A35501">
      <w:pPr>
        <w:jc w:val="both"/>
        <w:rPr>
          <w:color w:val="000000" w:themeColor="text1"/>
        </w:rPr>
      </w:pPr>
    </w:p>
    <w:p w14:paraId="453CDCD4" w14:textId="14A65875" w:rsidR="00913537" w:rsidRDefault="00B92D2A" w:rsidP="00B34605">
      <w:pPr>
        <w:jc w:val="both"/>
        <w:rPr>
          <w:color w:val="000000" w:themeColor="text1"/>
        </w:rPr>
      </w:pPr>
      <w:r>
        <w:rPr>
          <w:color w:val="000000" w:themeColor="text1"/>
        </w:rPr>
        <w:t xml:space="preserve">The PRIME-RPT may </w:t>
      </w:r>
      <w:r w:rsidR="00F65EDE" w:rsidRPr="00EF7BCA">
        <w:rPr>
          <w:color w:val="000000" w:themeColor="text1"/>
        </w:rPr>
        <w:t xml:space="preserve">underestimate </w:t>
      </w:r>
      <w:r>
        <w:rPr>
          <w:color w:val="000000" w:themeColor="text1"/>
        </w:rPr>
        <w:t xml:space="preserve">MRH risk in </w:t>
      </w:r>
      <w:r w:rsidR="00E61C24">
        <w:rPr>
          <w:color w:val="000000" w:themeColor="text1"/>
        </w:rPr>
        <w:t>patients</w:t>
      </w:r>
      <w:r>
        <w:rPr>
          <w:color w:val="000000" w:themeColor="text1"/>
        </w:rPr>
        <w:t xml:space="preserve"> </w:t>
      </w:r>
      <w:r w:rsidR="00F65EDE" w:rsidRPr="00EF7BCA">
        <w:rPr>
          <w:color w:val="000000" w:themeColor="text1"/>
        </w:rPr>
        <w:t>who are non</w:t>
      </w:r>
      <w:r w:rsidR="00484322" w:rsidRPr="00EF7BCA">
        <w:rPr>
          <w:color w:val="000000" w:themeColor="text1"/>
        </w:rPr>
        <w:t xml:space="preserve">-adherent </w:t>
      </w:r>
      <w:r w:rsidR="00F65EDE" w:rsidRPr="00EF7BCA">
        <w:rPr>
          <w:color w:val="000000" w:themeColor="text1"/>
        </w:rPr>
        <w:t>with medications. The PRIME</w:t>
      </w:r>
      <w:r w:rsidR="00E61C24">
        <w:rPr>
          <w:color w:val="000000" w:themeColor="text1"/>
        </w:rPr>
        <w:t>-</w:t>
      </w:r>
      <w:r w:rsidR="00F65EDE" w:rsidRPr="00EF7BCA">
        <w:rPr>
          <w:color w:val="000000" w:themeColor="text1"/>
        </w:rPr>
        <w:t xml:space="preserve">RPT assumes, all patients take their medications as instructed. </w:t>
      </w:r>
      <w:r w:rsidR="00FD15A4" w:rsidRPr="00EF7BCA">
        <w:rPr>
          <w:color w:val="000000" w:themeColor="text1"/>
        </w:rPr>
        <w:t>In case study</w:t>
      </w:r>
      <w:r>
        <w:rPr>
          <w:color w:val="000000" w:themeColor="text1"/>
        </w:rPr>
        <w:t xml:space="preserve"> 5</w:t>
      </w:r>
      <w:r w:rsidR="00FD15A4" w:rsidRPr="00EF7BCA">
        <w:rPr>
          <w:color w:val="000000" w:themeColor="text1"/>
        </w:rPr>
        <w:t xml:space="preserve"> a </w:t>
      </w:r>
      <w:r w:rsidR="000F24AB" w:rsidRPr="00EF7BCA">
        <w:rPr>
          <w:color w:val="000000" w:themeColor="text1"/>
        </w:rPr>
        <w:t>67-year-old</w:t>
      </w:r>
      <w:r w:rsidR="00FD15A4" w:rsidRPr="00EF7BCA">
        <w:rPr>
          <w:color w:val="000000" w:themeColor="text1"/>
        </w:rPr>
        <w:t xml:space="preserve"> female with advanced dementia and on six medications </w:t>
      </w:r>
      <w:r w:rsidR="00B00B6B">
        <w:rPr>
          <w:color w:val="000000" w:themeColor="text1"/>
        </w:rPr>
        <w:t>had a calculated</w:t>
      </w:r>
      <w:r w:rsidR="00FD15A4" w:rsidRPr="00EF7BCA">
        <w:rPr>
          <w:color w:val="000000" w:themeColor="text1"/>
        </w:rPr>
        <w:t xml:space="preserve"> 8% MRH</w:t>
      </w:r>
      <w:r w:rsidR="00B00B6B">
        <w:rPr>
          <w:color w:val="000000" w:themeColor="text1"/>
        </w:rPr>
        <w:t xml:space="preserve"> risk</w:t>
      </w:r>
      <w:r w:rsidR="007469B8" w:rsidRPr="00EF7BCA">
        <w:rPr>
          <w:color w:val="000000" w:themeColor="text1"/>
        </w:rPr>
        <w:t xml:space="preserve">. </w:t>
      </w:r>
      <w:r>
        <w:rPr>
          <w:color w:val="000000" w:themeColor="text1"/>
        </w:rPr>
        <w:t>P</w:t>
      </w:r>
      <w:r w:rsidR="007469B8" w:rsidRPr="00EF7BCA">
        <w:rPr>
          <w:color w:val="000000" w:themeColor="text1"/>
        </w:rPr>
        <w:t>harmacist</w:t>
      </w:r>
      <w:r>
        <w:rPr>
          <w:color w:val="000000" w:themeColor="text1"/>
        </w:rPr>
        <w:t xml:space="preserve"> 10</w:t>
      </w:r>
      <w:r w:rsidR="007469B8" w:rsidRPr="00EF7BCA">
        <w:rPr>
          <w:color w:val="000000" w:themeColor="text1"/>
        </w:rPr>
        <w:t xml:space="preserve"> highlighted that although she is of low risk from suffering from MRH according to the </w:t>
      </w:r>
      <w:r w:rsidR="00FF7E8A">
        <w:rPr>
          <w:color w:val="000000" w:themeColor="text1"/>
        </w:rPr>
        <w:t>PRIME-RPT</w:t>
      </w:r>
      <w:r w:rsidR="007469B8" w:rsidRPr="00EF7BCA">
        <w:rPr>
          <w:color w:val="000000" w:themeColor="text1"/>
        </w:rPr>
        <w:t>, she is still at risk of MRH if she is not taking her medications as instructe</w:t>
      </w:r>
      <w:r w:rsidR="001D2FC0">
        <w:rPr>
          <w:color w:val="000000" w:themeColor="text1"/>
        </w:rPr>
        <w:t>d</w:t>
      </w:r>
      <w:r w:rsidR="007469B8" w:rsidRPr="00EF7BCA">
        <w:rPr>
          <w:color w:val="000000" w:themeColor="text1"/>
        </w:rPr>
        <w:t xml:space="preserve">. </w:t>
      </w:r>
      <w:r w:rsidR="009C79B1" w:rsidRPr="0069582A">
        <w:rPr>
          <w:color w:val="000000" w:themeColor="text1"/>
        </w:rPr>
        <w:t>Nine pharmacists agreed that the tool could potentially divert the attention away from patients with low MRH risk scores, but those patients may still benefit from pharmacy input</w:t>
      </w:r>
      <w:r w:rsidR="009C79B1">
        <w:rPr>
          <w:color w:val="000000" w:themeColor="text1"/>
        </w:rPr>
        <w:t>.</w:t>
      </w:r>
    </w:p>
    <w:p w14:paraId="063485F4" w14:textId="77777777" w:rsidR="00913537" w:rsidRDefault="00913537" w:rsidP="00B34605">
      <w:pPr>
        <w:jc w:val="both"/>
        <w:rPr>
          <w:color w:val="000000" w:themeColor="text1"/>
        </w:rPr>
      </w:pPr>
    </w:p>
    <w:p w14:paraId="3AEF80E5" w14:textId="11E31DFA" w:rsidR="00913537" w:rsidRDefault="00913537" w:rsidP="00B34605">
      <w:pPr>
        <w:jc w:val="both"/>
        <w:rPr>
          <w:color w:val="000000" w:themeColor="text1"/>
        </w:rPr>
      </w:pPr>
      <w:r>
        <w:rPr>
          <w:color w:val="000000" w:themeColor="text1"/>
        </w:rPr>
        <w:t>P</w:t>
      </w:r>
      <w:r w:rsidR="007469B8" w:rsidRPr="00EF7BCA">
        <w:rPr>
          <w:color w:val="000000" w:themeColor="text1"/>
        </w:rPr>
        <w:t>harmacist</w:t>
      </w:r>
      <w:r w:rsidR="00727FD5">
        <w:rPr>
          <w:color w:val="000000" w:themeColor="text1"/>
        </w:rPr>
        <w:t xml:space="preserve"> 10</w:t>
      </w:r>
      <w:r>
        <w:rPr>
          <w:color w:val="000000" w:themeColor="text1"/>
        </w:rPr>
        <w:t>:</w:t>
      </w:r>
      <w:r w:rsidR="007469B8" w:rsidRPr="00EF7BCA">
        <w:rPr>
          <w:color w:val="000000" w:themeColor="text1"/>
        </w:rPr>
        <w:t xml:space="preserve"> </w:t>
      </w:r>
      <w:r w:rsidR="007469B8" w:rsidRPr="00913537">
        <w:rPr>
          <w:i/>
          <w:iCs/>
          <w:color w:val="000000" w:themeColor="text1"/>
        </w:rPr>
        <w:t>“</w:t>
      </w:r>
      <w:r w:rsidRPr="00913537">
        <w:rPr>
          <w:i/>
          <w:iCs/>
          <w:color w:val="000000" w:themeColor="text1"/>
        </w:rPr>
        <w:t xml:space="preserve">She </w:t>
      </w:r>
      <w:r w:rsidR="007469B8" w:rsidRPr="00EF7BCA">
        <w:rPr>
          <w:i/>
          <w:iCs/>
          <w:color w:val="000000" w:themeColor="text1"/>
        </w:rPr>
        <w:t xml:space="preserve">would still benefit from pharmacy interventions like </w:t>
      </w:r>
      <w:r w:rsidR="00B4437F" w:rsidRPr="00EF7BCA">
        <w:rPr>
          <w:i/>
          <w:iCs/>
          <w:color w:val="000000" w:themeColor="text1"/>
        </w:rPr>
        <w:t xml:space="preserve">a </w:t>
      </w:r>
      <w:r w:rsidR="007469B8" w:rsidRPr="0069582A">
        <w:rPr>
          <w:i/>
          <w:iCs/>
          <w:color w:val="000000" w:themeColor="text1"/>
        </w:rPr>
        <w:t>compliance check</w:t>
      </w:r>
      <w:r w:rsidR="00B4437F" w:rsidRPr="0069582A">
        <w:rPr>
          <w:i/>
          <w:iCs/>
          <w:color w:val="000000" w:themeColor="text1"/>
        </w:rPr>
        <w:t xml:space="preserve"> to see if she is taking her medicines</w:t>
      </w:r>
      <w:r w:rsidR="009C79B1">
        <w:rPr>
          <w:i/>
          <w:iCs/>
          <w:color w:val="000000" w:themeColor="text1"/>
        </w:rPr>
        <w:t xml:space="preserve"> even if the calculated risk if low</w:t>
      </w:r>
      <w:r w:rsidR="007469B8" w:rsidRPr="0069582A">
        <w:rPr>
          <w:color w:val="000000" w:themeColor="text1"/>
        </w:rPr>
        <w:t>.”</w:t>
      </w:r>
      <w:r w:rsidR="00B4437F" w:rsidRPr="0069582A">
        <w:rPr>
          <w:color w:val="000000" w:themeColor="text1"/>
        </w:rPr>
        <w:t xml:space="preserve"> </w:t>
      </w:r>
    </w:p>
    <w:p w14:paraId="710FA820" w14:textId="00B1D70E" w:rsidR="00540CB6" w:rsidRPr="0069582A" w:rsidRDefault="00540CB6" w:rsidP="00B34605">
      <w:pPr>
        <w:jc w:val="both"/>
        <w:rPr>
          <w:bCs/>
          <w:color w:val="000000" w:themeColor="text1"/>
        </w:rPr>
      </w:pPr>
    </w:p>
    <w:p w14:paraId="567ABFA2" w14:textId="5E3B3F21" w:rsidR="00763337" w:rsidRPr="00D97020" w:rsidRDefault="003F22FA" w:rsidP="007430C5">
      <w:pPr>
        <w:jc w:val="both"/>
        <w:rPr>
          <w:b/>
          <w:sz w:val="28"/>
          <w:szCs w:val="28"/>
        </w:rPr>
      </w:pPr>
      <w:r w:rsidRPr="00EF7BCA">
        <w:rPr>
          <w:b/>
          <w:sz w:val="28"/>
          <w:szCs w:val="28"/>
        </w:rPr>
        <w:t>Discussion</w:t>
      </w:r>
    </w:p>
    <w:p w14:paraId="3319B541" w14:textId="2ABF7136" w:rsidR="007430C5" w:rsidRDefault="007430C5" w:rsidP="007430C5">
      <w:pPr>
        <w:jc w:val="both"/>
        <w:rPr>
          <w:bCs/>
        </w:rPr>
      </w:pPr>
    </w:p>
    <w:p w14:paraId="1CDAC203" w14:textId="093165CC" w:rsidR="003E0979" w:rsidRPr="00360C89" w:rsidRDefault="00C60EF2" w:rsidP="00C60EF2">
      <w:pPr>
        <w:jc w:val="both"/>
        <w:rPr>
          <w:color w:val="000000" w:themeColor="text1"/>
        </w:rPr>
      </w:pPr>
      <w:r>
        <w:rPr>
          <w:bCs/>
        </w:rPr>
        <w:t xml:space="preserve">The PRIME-RPT is an </w:t>
      </w:r>
      <w:r w:rsidRPr="00360C89">
        <w:rPr>
          <w:bCs/>
          <w:color w:val="000000" w:themeColor="text1"/>
        </w:rPr>
        <w:t xml:space="preserve">internally validated RPT for assessing MRH in the </w:t>
      </w:r>
      <w:r w:rsidR="006044C0" w:rsidRPr="00360C89">
        <w:rPr>
          <w:bCs/>
          <w:color w:val="000000" w:themeColor="text1"/>
        </w:rPr>
        <w:t>eight</w:t>
      </w:r>
      <w:r w:rsidRPr="00360C89">
        <w:rPr>
          <w:bCs/>
          <w:color w:val="000000" w:themeColor="text1"/>
        </w:rPr>
        <w:t xml:space="preserve">-weeks following hospital discharge. </w:t>
      </w:r>
      <w:r w:rsidR="00C56289">
        <w:rPr>
          <w:color w:val="000000" w:themeColor="text1"/>
        </w:rPr>
        <w:t>Prior to integration in practice</w:t>
      </w:r>
      <w:r w:rsidR="000166AB">
        <w:rPr>
          <w:color w:val="000000" w:themeColor="text1"/>
        </w:rPr>
        <w:t>,</w:t>
      </w:r>
      <w:r w:rsidR="00C56289">
        <w:rPr>
          <w:color w:val="000000" w:themeColor="text1"/>
        </w:rPr>
        <w:t xml:space="preserve"> we sought to </w:t>
      </w:r>
      <w:r w:rsidR="00C622F3" w:rsidRPr="00360C89">
        <w:rPr>
          <w:color w:val="000000" w:themeColor="text1"/>
        </w:rPr>
        <w:t xml:space="preserve">engage </w:t>
      </w:r>
      <w:r w:rsidR="001D2FC0" w:rsidRPr="00360C89">
        <w:rPr>
          <w:color w:val="000000" w:themeColor="text1"/>
        </w:rPr>
        <w:t>key</w:t>
      </w:r>
      <w:r w:rsidR="000166AB">
        <w:rPr>
          <w:color w:val="000000" w:themeColor="text1"/>
        </w:rPr>
        <w:t xml:space="preserve"> stakeholders who will be applying the tool</w:t>
      </w:r>
      <w:r w:rsidR="00C622F3" w:rsidRPr="00360C89">
        <w:rPr>
          <w:color w:val="000000" w:themeColor="text1"/>
        </w:rPr>
        <w:t xml:space="preserve">, namely hospital pharmacists. </w:t>
      </w:r>
      <w:r w:rsidR="007B13B8" w:rsidRPr="00360C89">
        <w:rPr>
          <w:bCs/>
          <w:color w:val="000000" w:themeColor="text1"/>
        </w:rPr>
        <w:t xml:space="preserve">This </w:t>
      </w:r>
      <w:r w:rsidR="00780C1E" w:rsidRPr="00360C89">
        <w:rPr>
          <w:bCs/>
          <w:color w:val="000000" w:themeColor="text1"/>
        </w:rPr>
        <w:t xml:space="preserve">qualitative analysis of </w:t>
      </w:r>
      <w:r w:rsidR="001D2FC0" w:rsidRPr="00360C89">
        <w:rPr>
          <w:bCs/>
          <w:color w:val="000000" w:themeColor="text1"/>
        </w:rPr>
        <w:t xml:space="preserve">semi-structured interviews with </w:t>
      </w:r>
      <w:r w:rsidR="00780C1E" w:rsidRPr="00360C89">
        <w:rPr>
          <w:bCs/>
          <w:color w:val="000000" w:themeColor="text1"/>
        </w:rPr>
        <w:t xml:space="preserve">ten </w:t>
      </w:r>
      <w:r w:rsidRPr="00360C89">
        <w:rPr>
          <w:bCs/>
          <w:color w:val="000000" w:themeColor="text1"/>
        </w:rPr>
        <w:t xml:space="preserve">hospital </w:t>
      </w:r>
      <w:r w:rsidR="00780C1E" w:rsidRPr="00360C89">
        <w:rPr>
          <w:bCs/>
          <w:color w:val="000000" w:themeColor="text1"/>
        </w:rPr>
        <w:t>pharmacist</w:t>
      </w:r>
      <w:r w:rsidR="001D2FC0" w:rsidRPr="00360C89">
        <w:rPr>
          <w:bCs/>
          <w:color w:val="000000" w:themeColor="text1"/>
        </w:rPr>
        <w:t>s</w:t>
      </w:r>
      <w:r w:rsidR="00780C1E" w:rsidRPr="00360C89">
        <w:rPr>
          <w:bCs/>
          <w:color w:val="000000" w:themeColor="text1"/>
        </w:rPr>
        <w:t xml:space="preserve"> </w:t>
      </w:r>
      <w:r w:rsidR="007B13B8" w:rsidRPr="00360C89">
        <w:rPr>
          <w:bCs/>
          <w:color w:val="000000" w:themeColor="text1"/>
        </w:rPr>
        <w:t xml:space="preserve">explores </w:t>
      </w:r>
      <w:r w:rsidR="00541A45" w:rsidRPr="00360C89">
        <w:rPr>
          <w:bCs/>
          <w:color w:val="000000" w:themeColor="text1"/>
        </w:rPr>
        <w:t>their opinions on</w:t>
      </w:r>
      <w:r w:rsidR="007B13B8" w:rsidRPr="00360C89">
        <w:rPr>
          <w:bCs/>
          <w:color w:val="000000" w:themeColor="text1"/>
        </w:rPr>
        <w:t xml:space="preserve"> the </w:t>
      </w:r>
      <w:r w:rsidR="00541A45" w:rsidRPr="00360C89">
        <w:rPr>
          <w:bCs/>
          <w:color w:val="000000" w:themeColor="text1"/>
        </w:rPr>
        <w:t>PRIME-RPT</w:t>
      </w:r>
      <w:r w:rsidR="007B13B8" w:rsidRPr="00360C89">
        <w:rPr>
          <w:bCs/>
          <w:color w:val="000000" w:themeColor="text1"/>
        </w:rPr>
        <w:t xml:space="preserve"> </w:t>
      </w:r>
      <w:r w:rsidRPr="00360C89">
        <w:rPr>
          <w:bCs/>
          <w:color w:val="000000" w:themeColor="text1"/>
        </w:rPr>
        <w:t>and</w:t>
      </w:r>
      <w:r w:rsidR="007B13B8" w:rsidRPr="00360C89">
        <w:rPr>
          <w:bCs/>
          <w:color w:val="000000" w:themeColor="text1"/>
        </w:rPr>
        <w:t xml:space="preserve"> </w:t>
      </w:r>
      <w:r w:rsidRPr="00360C89">
        <w:rPr>
          <w:bCs/>
          <w:color w:val="000000" w:themeColor="text1"/>
        </w:rPr>
        <w:t>addresses</w:t>
      </w:r>
      <w:r w:rsidR="007B13B8" w:rsidRPr="00360C89">
        <w:rPr>
          <w:bCs/>
          <w:color w:val="000000" w:themeColor="text1"/>
        </w:rPr>
        <w:t xml:space="preserve"> key </w:t>
      </w:r>
      <w:r w:rsidR="00780C1E" w:rsidRPr="00360C89">
        <w:rPr>
          <w:bCs/>
          <w:color w:val="000000" w:themeColor="text1"/>
        </w:rPr>
        <w:t>challenges associated with</w:t>
      </w:r>
      <w:r w:rsidR="007500CC" w:rsidRPr="00360C89">
        <w:rPr>
          <w:bCs/>
          <w:color w:val="000000" w:themeColor="text1"/>
        </w:rPr>
        <w:t xml:space="preserve"> its</w:t>
      </w:r>
      <w:r w:rsidR="00780C1E" w:rsidRPr="00360C89">
        <w:rPr>
          <w:bCs/>
          <w:color w:val="000000" w:themeColor="text1"/>
        </w:rPr>
        <w:t xml:space="preserve"> implement</w:t>
      </w:r>
      <w:r w:rsidR="007500CC" w:rsidRPr="00360C89">
        <w:rPr>
          <w:bCs/>
          <w:color w:val="000000" w:themeColor="text1"/>
        </w:rPr>
        <w:t>ation</w:t>
      </w:r>
      <w:r w:rsidR="00780C1E" w:rsidRPr="00360C89">
        <w:rPr>
          <w:bCs/>
          <w:color w:val="000000" w:themeColor="text1"/>
        </w:rPr>
        <w:t xml:space="preserve"> into clinical practice. </w:t>
      </w:r>
    </w:p>
    <w:p w14:paraId="277A9A00" w14:textId="4C63C65F" w:rsidR="00C60EF2" w:rsidRPr="00360C89" w:rsidRDefault="00C60EF2" w:rsidP="00C93325">
      <w:pPr>
        <w:jc w:val="both"/>
        <w:rPr>
          <w:bCs/>
          <w:color w:val="000000" w:themeColor="text1"/>
        </w:rPr>
      </w:pPr>
    </w:p>
    <w:p w14:paraId="286D84AA" w14:textId="387F41B3" w:rsidR="00275114" w:rsidRDefault="00C60EF2" w:rsidP="00B34605">
      <w:pPr>
        <w:jc w:val="both"/>
      </w:pPr>
      <w:r>
        <w:rPr>
          <w:bCs/>
        </w:rPr>
        <w:t xml:space="preserve">Overall, the </w:t>
      </w:r>
      <w:r w:rsidR="00C6703E" w:rsidRPr="00EF7BCA">
        <w:rPr>
          <w:bCs/>
        </w:rPr>
        <w:t>PRIME</w:t>
      </w:r>
      <w:r>
        <w:rPr>
          <w:bCs/>
        </w:rPr>
        <w:t>-</w:t>
      </w:r>
      <w:r w:rsidR="00C6703E" w:rsidRPr="00EF7BCA">
        <w:rPr>
          <w:bCs/>
        </w:rPr>
        <w:t xml:space="preserve">RPT was well received; </w:t>
      </w:r>
      <w:r w:rsidR="000F078B" w:rsidRPr="00EF7BCA">
        <w:rPr>
          <w:bCs/>
        </w:rPr>
        <w:t>commended</w:t>
      </w:r>
      <w:r w:rsidR="00C6703E" w:rsidRPr="00EF7BCA">
        <w:rPr>
          <w:bCs/>
        </w:rPr>
        <w:t xml:space="preserve"> for being easy to use and as a useful prio</w:t>
      </w:r>
      <w:r w:rsidR="00D17703" w:rsidRPr="00EF7BCA">
        <w:rPr>
          <w:bCs/>
        </w:rPr>
        <w:t>r</w:t>
      </w:r>
      <w:r w:rsidR="00C6703E" w:rsidRPr="00EF7BCA">
        <w:rPr>
          <w:bCs/>
        </w:rPr>
        <w:t xml:space="preserve">itisation aide. </w:t>
      </w:r>
      <w:r w:rsidR="0055109D" w:rsidRPr="00AE401F">
        <w:rPr>
          <w:bCs/>
          <w:color w:val="000000" w:themeColor="text1"/>
        </w:rPr>
        <w:t xml:space="preserve">Specifically, </w:t>
      </w:r>
      <w:r w:rsidR="0055109D" w:rsidRPr="004D199F">
        <w:rPr>
          <w:bCs/>
          <w:color w:val="000000" w:themeColor="text1"/>
        </w:rPr>
        <w:t>p</w:t>
      </w:r>
      <w:r w:rsidR="00C6703E" w:rsidRPr="004D199F">
        <w:rPr>
          <w:bCs/>
          <w:color w:val="000000" w:themeColor="text1"/>
        </w:rPr>
        <w:t>harmacists highlighted that u</w:t>
      </w:r>
      <w:r w:rsidR="00C93325" w:rsidRPr="004D199F">
        <w:rPr>
          <w:color w:val="000000" w:themeColor="text1"/>
        </w:rPr>
        <w:t xml:space="preserve">sing an objective numerical score, </w:t>
      </w:r>
      <w:r w:rsidR="00AE6FE6" w:rsidRPr="004D199F">
        <w:rPr>
          <w:color w:val="000000" w:themeColor="text1"/>
        </w:rPr>
        <w:t>promptly</w:t>
      </w:r>
      <w:r w:rsidR="0055109D" w:rsidRPr="004D199F">
        <w:rPr>
          <w:color w:val="000000" w:themeColor="text1"/>
        </w:rPr>
        <w:t xml:space="preserve"> highlights </w:t>
      </w:r>
      <w:r w:rsidR="009D36FE" w:rsidRPr="004D199F">
        <w:rPr>
          <w:color w:val="000000" w:themeColor="text1"/>
        </w:rPr>
        <w:t xml:space="preserve">high-risk patients who </w:t>
      </w:r>
      <w:r w:rsidR="006664E2" w:rsidRPr="004D199F">
        <w:rPr>
          <w:color w:val="000000" w:themeColor="text1"/>
        </w:rPr>
        <w:t xml:space="preserve">would benefit from </w:t>
      </w:r>
      <w:r w:rsidR="009D36FE" w:rsidRPr="004D199F">
        <w:rPr>
          <w:color w:val="000000" w:themeColor="text1"/>
        </w:rPr>
        <w:t xml:space="preserve">pharmacist </w:t>
      </w:r>
      <w:r w:rsidR="006664E2" w:rsidRPr="004D199F">
        <w:rPr>
          <w:color w:val="000000" w:themeColor="text1"/>
        </w:rPr>
        <w:t>i</w:t>
      </w:r>
      <w:r w:rsidR="00AE6FE6" w:rsidRPr="004D199F">
        <w:rPr>
          <w:color w:val="000000" w:themeColor="text1"/>
        </w:rPr>
        <w:t>nterventions such as</w:t>
      </w:r>
      <w:r w:rsidR="009D36FE" w:rsidRPr="004D199F">
        <w:rPr>
          <w:color w:val="000000" w:themeColor="text1"/>
        </w:rPr>
        <w:t xml:space="preserve"> medication review, medication counselling</w:t>
      </w:r>
      <w:r w:rsidR="0038420B" w:rsidRPr="004D199F">
        <w:rPr>
          <w:color w:val="000000" w:themeColor="text1"/>
        </w:rPr>
        <w:t xml:space="preserve"> and</w:t>
      </w:r>
      <w:r w:rsidR="009D36FE" w:rsidRPr="004D199F">
        <w:rPr>
          <w:color w:val="000000" w:themeColor="text1"/>
        </w:rPr>
        <w:t xml:space="preserve"> deprescribing in</w:t>
      </w:r>
      <w:r w:rsidR="00AE6FE6" w:rsidRPr="004D199F">
        <w:rPr>
          <w:color w:val="000000" w:themeColor="text1"/>
        </w:rPr>
        <w:t xml:space="preserve"> accordance</w:t>
      </w:r>
      <w:r w:rsidR="009D36FE" w:rsidRPr="004D199F">
        <w:rPr>
          <w:color w:val="000000" w:themeColor="text1"/>
        </w:rPr>
        <w:t xml:space="preserve"> with patients care goals</w:t>
      </w:r>
      <w:r w:rsidR="0038420B" w:rsidRPr="004D199F">
        <w:rPr>
          <w:color w:val="000000" w:themeColor="text1"/>
        </w:rPr>
        <w:t>. Pharmacists</w:t>
      </w:r>
      <w:r w:rsidR="007500CC" w:rsidRPr="004D199F">
        <w:rPr>
          <w:color w:val="000000" w:themeColor="text1"/>
        </w:rPr>
        <w:t xml:space="preserve"> found the RPT to be</w:t>
      </w:r>
      <w:r w:rsidR="00F077B5" w:rsidRPr="004D199F">
        <w:rPr>
          <w:color w:val="000000" w:themeColor="text1"/>
        </w:rPr>
        <w:t xml:space="preserve"> a useful communication aide when</w:t>
      </w:r>
      <w:r w:rsidR="007500CC" w:rsidRPr="004D199F">
        <w:rPr>
          <w:color w:val="000000" w:themeColor="text1"/>
        </w:rPr>
        <w:t xml:space="preserve"> counselling</w:t>
      </w:r>
      <w:r w:rsidR="00F077B5" w:rsidRPr="004D199F">
        <w:rPr>
          <w:color w:val="000000" w:themeColor="text1"/>
        </w:rPr>
        <w:t xml:space="preserve"> patients</w:t>
      </w:r>
      <w:r w:rsidR="00575E86" w:rsidRPr="004D199F">
        <w:rPr>
          <w:color w:val="000000" w:themeColor="text1"/>
        </w:rPr>
        <w:t xml:space="preserve"> </w:t>
      </w:r>
      <w:r w:rsidR="00F077B5" w:rsidRPr="004D199F">
        <w:rPr>
          <w:color w:val="000000" w:themeColor="text1"/>
        </w:rPr>
        <w:t>facilitat</w:t>
      </w:r>
      <w:r w:rsidR="00575E86" w:rsidRPr="004D199F">
        <w:rPr>
          <w:color w:val="000000" w:themeColor="text1"/>
        </w:rPr>
        <w:t>ing</w:t>
      </w:r>
      <w:r w:rsidR="00F077B5" w:rsidRPr="004D199F">
        <w:rPr>
          <w:color w:val="000000" w:themeColor="text1"/>
        </w:rPr>
        <w:t xml:space="preserve"> </w:t>
      </w:r>
      <w:r w:rsidR="00AE6FE6" w:rsidRPr="004D199F">
        <w:rPr>
          <w:color w:val="000000" w:themeColor="text1"/>
        </w:rPr>
        <w:t xml:space="preserve">a </w:t>
      </w:r>
      <w:r w:rsidR="006664E2" w:rsidRPr="004D199F">
        <w:rPr>
          <w:color w:val="000000" w:themeColor="text1"/>
        </w:rPr>
        <w:t>patient</w:t>
      </w:r>
      <w:r w:rsidR="00AE6FE6" w:rsidRPr="004D199F">
        <w:rPr>
          <w:color w:val="000000" w:themeColor="text1"/>
        </w:rPr>
        <w:t>-</w:t>
      </w:r>
      <w:r w:rsidR="006664E2" w:rsidRPr="004D199F">
        <w:rPr>
          <w:color w:val="000000" w:themeColor="text1"/>
        </w:rPr>
        <w:t>centred</w:t>
      </w:r>
      <w:r w:rsidR="007500CC" w:rsidRPr="004D199F">
        <w:rPr>
          <w:color w:val="000000" w:themeColor="text1"/>
        </w:rPr>
        <w:t xml:space="preserve"> approach. It also allows focused discussions</w:t>
      </w:r>
      <w:r w:rsidR="006664E2" w:rsidRPr="004D199F">
        <w:rPr>
          <w:color w:val="000000" w:themeColor="text1"/>
        </w:rPr>
        <w:t xml:space="preserve"> with healthcare professionals and ensure</w:t>
      </w:r>
      <w:r w:rsidR="00575E86" w:rsidRPr="004D199F">
        <w:rPr>
          <w:color w:val="000000" w:themeColor="text1"/>
        </w:rPr>
        <w:t>s</w:t>
      </w:r>
      <w:r w:rsidR="006664E2" w:rsidRPr="004D199F">
        <w:rPr>
          <w:color w:val="000000" w:themeColor="text1"/>
        </w:rPr>
        <w:t xml:space="preserve"> appropriate community follow-up. </w:t>
      </w:r>
    </w:p>
    <w:p w14:paraId="3B30FDBC" w14:textId="5C02CBD1" w:rsidR="00332D64" w:rsidRDefault="00332D64" w:rsidP="00B34605">
      <w:pPr>
        <w:jc w:val="both"/>
      </w:pPr>
    </w:p>
    <w:p w14:paraId="76FA64F0" w14:textId="7C31C17C" w:rsidR="00332D64" w:rsidRDefault="00332D64" w:rsidP="00B34605">
      <w:pPr>
        <w:jc w:val="both"/>
      </w:pPr>
      <w:r>
        <w:t xml:space="preserve">The PRIME-RPT places particular emphasis on polypharmacy by scoring patients for the total number of drugs they are prescribed. </w:t>
      </w:r>
      <w:r w:rsidR="005B3782">
        <w:t>Polypharmacy is a recognised cause of iatrogenic harm. ‘</w:t>
      </w:r>
      <w:r w:rsidR="005B3782" w:rsidRPr="00EF7BCA">
        <w:rPr>
          <w:color w:val="000000" w:themeColor="text1"/>
        </w:rPr>
        <w:t>The number of drugs alert’ within the tool reminded ward pharmacists to</w:t>
      </w:r>
      <w:r w:rsidR="00A17F17">
        <w:rPr>
          <w:color w:val="000000" w:themeColor="text1"/>
        </w:rPr>
        <w:t xml:space="preserve"> target</w:t>
      </w:r>
      <w:r w:rsidR="00AA2C93" w:rsidRPr="00A17F17">
        <w:rPr>
          <w:color w:val="FF0000"/>
        </w:rPr>
        <w:t xml:space="preserve"> </w:t>
      </w:r>
      <w:r w:rsidR="005B3782" w:rsidRPr="00EF7BCA">
        <w:rPr>
          <w:color w:val="000000" w:themeColor="text1"/>
        </w:rPr>
        <w:t>polypharmacy</w:t>
      </w:r>
      <w:r w:rsidR="005B3782">
        <w:rPr>
          <w:color w:val="000000" w:themeColor="text1"/>
        </w:rPr>
        <w:t>.</w:t>
      </w:r>
      <w:r w:rsidR="005B3782">
        <w:t xml:space="preserve"> </w:t>
      </w:r>
    </w:p>
    <w:p w14:paraId="35F7F8E9" w14:textId="77777777" w:rsidR="00BE7480" w:rsidRPr="00CF0BB8" w:rsidRDefault="00BE7480" w:rsidP="00B34605">
      <w:pPr>
        <w:jc w:val="both"/>
      </w:pPr>
    </w:p>
    <w:p w14:paraId="735617E1" w14:textId="5C441EE2" w:rsidR="00354768" w:rsidRPr="004D199F" w:rsidRDefault="00850332" w:rsidP="005301E0">
      <w:pPr>
        <w:jc w:val="both"/>
        <w:rPr>
          <w:color w:val="000000" w:themeColor="text1"/>
        </w:rPr>
      </w:pPr>
      <w:r>
        <w:rPr>
          <w:color w:val="000000"/>
        </w:rPr>
        <w:t xml:space="preserve">Other tools </w:t>
      </w:r>
      <w:r w:rsidR="004F47C3" w:rsidRPr="00CF0BB8">
        <w:rPr>
          <w:color w:val="000000"/>
        </w:rPr>
        <w:t xml:space="preserve">to </w:t>
      </w:r>
      <w:r w:rsidR="005301E0" w:rsidRPr="00CF0BB8">
        <w:rPr>
          <w:color w:val="000000" w:themeColor="text1"/>
        </w:rPr>
        <w:t xml:space="preserve">predict </w:t>
      </w:r>
      <w:r w:rsidR="005301E0" w:rsidRPr="00CF0BB8">
        <w:rPr>
          <w:color w:val="000000"/>
        </w:rPr>
        <w:t>MRH</w:t>
      </w:r>
      <w:r w:rsidR="00F352FF">
        <w:rPr>
          <w:color w:val="000000"/>
        </w:rPr>
        <w:t xml:space="preserve"> risk</w:t>
      </w:r>
      <w:r w:rsidR="005301E0" w:rsidRPr="00CF0BB8">
        <w:rPr>
          <w:color w:val="000000"/>
        </w:rPr>
        <w:t xml:space="preserve"> in older </w:t>
      </w:r>
      <w:r w:rsidR="005301E0" w:rsidRPr="00CF0BB8">
        <w:rPr>
          <w:color w:val="000000" w:themeColor="text1"/>
        </w:rPr>
        <w:t>people</w:t>
      </w:r>
      <w:r w:rsidR="001F1D30">
        <w:rPr>
          <w:color w:val="000000" w:themeColor="text1"/>
        </w:rPr>
        <w:t xml:space="preserve"> </w:t>
      </w:r>
      <w:r w:rsidR="004F47C3" w:rsidRPr="00CF0BB8">
        <w:rPr>
          <w:color w:val="000000" w:themeColor="text1"/>
        </w:rPr>
        <w:t>include</w:t>
      </w:r>
      <w:r w:rsidR="005301E0" w:rsidRPr="00CF0BB8">
        <w:rPr>
          <w:color w:val="000000" w:themeColor="text1"/>
        </w:rPr>
        <w:t xml:space="preserve"> the risk model proposed by </w:t>
      </w:r>
      <w:proofErr w:type="spellStart"/>
      <w:r w:rsidR="005301E0" w:rsidRPr="00CF0BB8">
        <w:rPr>
          <w:color w:val="000000" w:themeColor="text1"/>
        </w:rPr>
        <w:t>McElnay</w:t>
      </w:r>
      <w:proofErr w:type="spellEnd"/>
      <w:r w:rsidR="005301E0" w:rsidRPr="00CF0BB8">
        <w:rPr>
          <w:color w:val="000000" w:themeColor="text1"/>
        </w:rPr>
        <w:t xml:space="preserve"> et al. </w:t>
      </w:r>
      <w:r w:rsidR="005301E0" w:rsidRPr="00CF0BB8">
        <w:rPr>
          <w:color w:val="000000" w:themeColor="text1"/>
        </w:rPr>
        <w:fldChar w:fldCharType="begin" w:fldLock="1"/>
      </w:r>
      <w:r w:rsidR="00A67EF4">
        <w:rPr>
          <w:color w:val="000000" w:themeColor="text1"/>
        </w:rPr>
        <w:instrText>ADDIN CSL_CITATION {"citationItems":[{"id":"ITEM-1","itemData":{"ISSN":"1179-1918","author":[{"dropping-particle":"","family":"McElnay","given":"J C","non-dropping-particle":"","parse-names":false,"suffix":""},{"dropping-particle":"","family":"McCallion","given":"C R","non-dropping-particle":"","parse-names":false,"suffix":""},{"dropping-particle":"","family":"Al-Deagi","given":"F","non-dropping-particle":"","parse-names":false,"suffix":""},{"dropping-particle":"","family":"Scott","given":"M G","non-dropping-particle":"","parse-names":false,"suffix":""}],"container-title":"Clinical drug investigation","id":"ITEM-1","issue":"1","issued":{"date-parts":[["1997"]]},"page":"47-55","publisher":"Springer","title":"Development of a risk model for adverse drug events in the elderly","type":"article-journal","volume":"13"},"uris":["http://www.mendeley.com/documents/?uuid=f7ae3cdb-97cf-4211-be3d-b45253019ae9"]}],"mendeley":{"formattedCitation":"(15)","plainTextFormattedCitation":"(15)","previouslyFormattedCitation":"(15)"},"properties":{"noteIndex":0},"schema":"https://github.com/citation-style-language/schema/raw/master/csl-citation.json"}</w:instrText>
      </w:r>
      <w:r w:rsidR="005301E0" w:rsidRPr="00CF0BB8">
        <w:rPr>
          <w:color w:val="000000" w:themeColor="text1"/>
        </w:rPr>
        <w:fldChar w:fldCharType="separate"/>
      </w:r>
      <w:r w:rsidR="00923585" w:rsidRPr="00923585">
        <w:rPr>
          <w:noProof/>
          <w:color w:val="000000" w:themeColor="text1"/>
        </w:rPr>
        <w:t>(15)</w:t>
      </w:r>
      <w:r w:rsidR="005301E0" w:rsidRPr="00CF0BB8">
        <w:rPr>
          <w:color w:val="000000" w:themeColor="text1"/>
        </w:rPr>
        <w:fldChar w:fldCharType="end"/>
      </w:r>
      <w:r w:rsidR="005301E0" w:rsidRPr="00CF0BB8">
        <w:rPr>
          <w:color w:val="000000" w:themeColor="text1"/>
        </w:rPr>
        <w:t xml:space="preserve">, Geriatric ADE risk score (IMEPAG Study) </w:t>
      </w:r>
      <w:r w:rsidR="005301E0" w:rsidRPr="00CF0BB8">
        <w:rPr>
          <w:color w:val="000000" w:themeColor="text1"/>
        </w:rPr>
        <w:fldChar w:fldCharType="begin" w:fldLock="1"/>
      </w:r>
      <w:r w:rsidR="00A67EF4">
        <w:rPr>
          <w:color w:val="000000" w:themeColor="text1"/>
        </w:rPr>
        <w:instrText>ADDIN CSL_CITATION {"citationItems":[{"id":"ITEM-1","itemData":{"ISSN":"1878-7649","author":[{"dropping-particle":"","family":"Trivalle","given":"C","non-dropping-particle":"","parse-names":false,"suffix":""},{"dropping-particle":"","family":"Burlaud","given":"A","non-dropping-particle":"","parse-names":false,"suffix":""},{"dropping-particle":"","family":"Ducimetière","given":"P","non-dropping-particle":"","parse-names":false,"suffix":""},{"dropping-particle":"","family":"Group","given":"IMEPAG","non-dropping-particle":"","parse-names":false,"suffix":""}],"container-title":"European Geriatric Medicine","id":"ITEM-1","issue":"5","issued":{"date-parts":[["2011"]]},"page":"284-289","publisher":"Elsevier","title":"Risk factors for adverse drug events in hospitalized elderly patients: a geriatric score","type":"article-journal","volume":"2"},"uris":["http://www.mendeley.com/documents/?uuid=45c5b693-4787-4819-84af-aea725cc5f59"]}],"mendeley":{"formattedCitation":"(16)","plainTextFormattedCitation":"(16)","previouslyFormattedCitation":"(16)"},"properties":{"noteIndex":0},"schema":"https://github.com/citation-style-language/schema/raw/master/csl-citation.json"}</w:instrText>
      </w:r>
      <w:r w:rsidR="005301E0" w:rsidRPr="00CF0BB8">
        <w:rPr>
          <w:color w:val="000000" w:themeColor="text1"/>
        </w:rPr>
        <w:fldChar w:fldCharType="separate"/>
      </w:r>
      <w:r w:rsidR="00923585" w:rsidRPr="00923585">
        <w:rPr>
          <w:noProof/>
          <w:color w:val="000000" w:themeColor="text1"/>
        </w:rPr>
        <w:t>(16)</w:t>
      </w:r>
      <w:r w:rsidR="005301E0" w:rsidRPr="00CF0BB8">
        <w:rPr>
          <w:color w:val="000000" w:themeColor="text1"/>
        </w:rPr>
        <w:fldChar w:fldCharType="end"/>
      </w:r>
      <w:r w:rsidR="005301E0" w:rsidRPr="00CF0BB8">
        <w:rPr>
          <w:color w:val="000000" w:themeColor="text1"/>
        </w:rPr>
        <w:t xml:space="preserve">, </w:t>
      </w:r>
      <w:proofErr w:type="spellStart"/>
      <w:r w:rsidR="005301E0" w:rsidRPr="00CF0BB8">
        <w:rPr>
          <w:color w:val="000000" w:themeColor="text1"/>
        </w:rPr>
        <w:t>GerontoNet</w:t>
      </w:r>
      <w:proofErr w:type="spellEnd"/>
      <w:r w:rsidR="005301E0" w:rsidRPr="00CF0BB8">
        <w:rPr>
          <w:color w:val="000000" w:themeColor="text1"/>
        </w:rPr>
        <w:t xml:space="preserve"> ADR Risk Score </w:t>
      </w:r>
      <w:r w:rsidR="005301E0" w:rsidRPr="00CF0BB8">
        <w:rPr>
          <w:color w:val="000000" w:themeColor="text1"/>
        </w:rPr>
        <w:fldChar w:fldCharType="begin" w:fldLock="1"/>
      </w:r>
      <w:r w:rsidR="00A67EF4">
        <w:rPr>
          <w:color w:val="000000" w:themeColor="text1"/>
        </w:rPr>
        <w:instrText>ADDIN CSL_CITATION {"citationItems":[{"id":"ITEM-1","itemData":{"ISSN":"0003-9926","author":[{"dropping-particle":"","family":"Onder","given":"Graziano","non-dropping-particle":"","parse-names":false,"suffix":""},{"dropping-particle":"","family":"Petrovic","given":"Mirko","non-dropping-particle":"","parse-names":false,"suffix":""},{"dropping-particle":"","family":"Tangiisuran","given":"Balamurugan","non-dropping-particle":"","parse-names":false,"suffix":""},{"dropping-particle":"","family":"Meinardi","given":"Marieke C","non-dropping-particle":"","parse-names":false,"suffix":""},{"dropping-particle":"","family":"Markito-Notenboom","given":"Winih P","non-dropping-particle":"","parse-names":false,"suffix":""},{"dropping-particle":"","family":"Somers","given":"Annemie","non-dropping-particle":"","parse-names":false,"suffix":""},{"dropping-particle":"","family":"Rajkumar","given":"Chakravarthi","non-dropping-particle":"","parse-names":false,"suffix":""},{"dropping-particle":"","family":"Bernabei","given":"Roberto","non-dropping-particle":"","parse-names":false,"suffix":""},{"dropping-particle":"","family":"Cammen","given":"Tischa J M","non-dropping-particle":"van der","parse-names":false,"suffix":""}],"container-title":"Archives of internal medicine","id":"ITEM-1","issue":"13","issued":{"date-parts":[["2010"]]},"page":"1142-1148","publisher":"American Medical Association","title":"Development and validation of a score to assess risk of adverse drug reactions among in-hospital patients 65 years or older: the GerontoNet ADR risk score","type":"article-journal","volume":"170"},"uris":["http://www.mendeley.com/documents/?uuid=4e3127d8-b90d-4467-9d14-71dddeed9d04"]}],"mendeley":{"formattedCitation":"(17)","plainTextFormattedCitation":"(17)","previouslyFormattedCitation":"(17)"},"properties":{"noteIndex":0},"schema":"https://github.com/citation-style-language/schema/raw/master/csl-citation.json"}</w:instrText>
      </w:r>
      <w:r w:rsidR="005301E0" w:rsidRPr="00CF0BB8">
        <w:rPr>
          <w:color w:val="000000" w:themeColor="text1"/>
        </w:rPr>
        <w:fldChar w:fldCharType="separate"/>
      </w:r>
      <w:r w:rsidR="00923585" w:rsidRPr="00923585">
        <w:rPr>
          <w:noProof/>
          <w:color w:val="000000" w:themeColor="text1"/>
        </w:rPr>
        <w:t>(17)</w:t>
      </w:r>
      <w:r w:rsidR="005301E0" w:rsidRPr="00CF0BB8">
        <w:rPr>
          <w:color w:val="000000" w:themeColor="text1"/>
        </w:rPr>
        <w:fldChar w:fldCharType="end"/>
      </w:r>
      <w:r w:rsidR="005301E0" w:rsidRPr="00CF0BB8">
        <w:rPr>
          <w:color w:val="000000" w:themeColor="text1"/>
        </w:rPr>
        <w:t xml:space="preserve">, and BADRI Score </w:t>
      </w:r>
      <w:r w:rsidR="005301E0" w:rsidRPr="00CF0BB8">
        <w:rPr>
          <w:color w:val="000000" w:themeColor="text1"/>
        </w:rPr>
        <w:fldChar w:fldCharType="begin" w:fldLock="1"/>
      </w:r>
      <w:r w:rsidR="00A67EF4">
        <w:rPr>
          <w:color w:val="000000" w:themeColor="text1"/>
        </w:rPr>
        <w:instrText>ADDIN CSL_CITATION {"citationItems":[{"id":"ITEM-1","itemData":{"ISSN":"1932-6203","author":[{"dropping-particle":"","family":"Tangiisuran","given":"Balamurugan","non-dropping-particle":"","parse-names":false,"suffix":""},{"dropping-particle":"","family":"Scutt","given":"Greg","non-dropping-particle":"","parse-names":false,"suffix":""},{"dropping-particle":"","family":"Stevenson","given":"Jennifer","non-dropping-particle":"","parse-names":false,"suffix":""},{"dropping-particle":"","family":"Wright","given":"Juliet","non-dropping-particle":"","parse-names":false,"suffix":""},{"dropping-particle":"","family":"Onder","given":"Graziano","non-dropping-particle":"","parse-names":false,"suffix":""},{"dropping-particle":"","family":"Petrovic","given":"Mirko","non-dropping-particle":"","parse-names":false,"suffix":""},{"dropping-particle":"","family":"Cammen","given":"Tischa J","non-dropping-particle":"van der","parse-names":false,"suffix":""},{"dropping-particle":"","family":"Rajkumar","given":"Chakravarthi","non-dropping-particle":"","parse-names":false,"suffix":""},{"dropping-particle":"","family":"Davies","given":"Graham","non-dropping-particle":"","parse-names":false,"suffix":""}],"container-title":"PloS one","id":"ITEM-1","issue":"10","issued":{"date-parts":[["2014"]]},"page":"e111254","publisher":"Public Library of Science San Francisco, USA","title":"Development and validation of a risk model for predicting adverse drug reactions in older people during hospital stay: Brighton Adverse Drug Reactions Risk (BADRI) model","type":"article-journal","volume":"9"},"uris":["http://www.mendeley.com/documents/?uuid=3991be7f-506c-4b16-9e3a-fc7a7cbb89ff"]}],"mendeley":{"formattedCitation":"(18)","plainTextFormattedCitation":"(18)","previouslyFormattedCitation":"(18)"},"properties":{"noteIndex":0},"schema":"https://github.com/citation-style-language/schema/raw/master/csl-citation.json"}</w:instrText>
      </w:r>
      <w:r w:rsidR="005301E0" w:rsidRPr="00CF0BB8">
        <w:rPr>
          <w:color w:val="000000" w:themeColor="text1"/>
        </w:rPr>
        <w:fldChar w:fldCharType="separate"/>
      </w:r>
      <w:r w:rsidR="00923585" w:rsidRPr="00923585">
        <w:rPr>
          <w:noProof/>
          <w:color w:val="000000" w:themeColor="text1"/>
        </w:rPr>
        <w:t>(18)</w:t>
      </w:r>
      <w:r w:rsidR="005301E0" w:rsidRPr="00CF0BB8">
        <w:rPr>
          <w:color w:val="000000" w:themeColor="text1"/>
        </w:rPr>
        <w:fldChar w:fldCharType="end"/>
      </w:r>
      <w:r w:rsidR="005301E0" w:rsidRPr="00CF0BB8">
        <w:rPr>
          <w:color w:val="000000" w:themeColor="text1"/>
        </w:rPr>
        <w:t>.</w:t>
      </w:r>
      <w:r w:rsidR="00B9268C">
        <w:rPr>
          <w:color w:val="000000" w:themeColor="text1"/>
        </w:rPr>
        <w:t xml:space="preserve"> </w:t>
      </w:r>
      <w:r w:rsidR="00852155">
        <w:rPr>
          <w:color w:val="000000" w:themeColor="text1"/>
        </w:rPr>
        <w:t xml:space="preserve">However, </w:t>
      </w:r>
      <w:r w:rsidR="00B9268C">
        <w:rPr>
          <w:color w:val="000000" w:themeColor="text1"/>
        </w:rPr>
        <w:t xml:space="preserve">unlike the PRIME-RPT, none focus on MRH risk at transition points of care, where up to 51% of patients </w:t>
      </w:r>
      <w:r w:rsidR="00B9268C" w:rsidRPr="00047F27">
        <w:rPr>
          <w:color w:val="000000" w:themeColor="text1"/>
        </w:rPr>
        <w:t xml:space="preserve">experience MRH </w:t>
      </w:r>
      <w:r w:rsidR="006D0773">
        <w:rPr>
          <w:color w:val="000000" w:themeColor="text1"/>
        </w:rPr>
        <w:fldChar w:fldCharType="begin" w:fldLock="1"/>
      </w:r>
      <w:r w:rsidR="003D6AB7">
        <w:rPr>
          <w:color w:val="000000" w:themeColor="text1"/>
        </w:rPr>
        <w:instrText>ADDIN CSL_CITATION {"citationItems":[{"id":"ITEM-1","itemData":{"DOI":"10.1111/jgs.15419","ISSN":"15325415","PMID":"29972591","abstract":"Objectives: To determine the incidence, severity, and preventability of and risk factors for medication-related harm (MRH) in community-dwelling older adults after hospital discharge. Design: Systematic review. Setting: A search of Medline, EMBASE, CINAHL, and the Cochrane Library was undertaken without time restrictions. Participants: Older adults (average age ≥65) participating in observational studies investigating postdischarge adverse drug reactions (ADRs) or adverse drug events (ADEs) within a defined follow-up period. Measurements: One author screened abstracts of all articles to exclude obviously irrelevant articles. Two authors independently screened the remaining articles for inclusion. Two authors independently extracted data, including study characteristics, MRH incidence, and risk factors; a third reviewer critically appraised and verified the data. Disagreements were resolved through discussion. Results: From 584 potentially relevant articles, 8 studies met our inclusion criteria: 5 North American and 3 European. Most of the included studies were of moderate quality. There was a wide range in MRH incidence, from 0.4% to 51.2% of participants, and 35% to 59% of MRH was preventable. MRH incidence within 30 days after discharge ranged from 167 to 500 events per 1,000 individuals discharged (17–51% of individuals). There is substantial methodological heterogeneity across multiple domains of the studies, including ADR and ADE definitions, characteristics of recruited populations, follow-up duration after discharge, and data collection. Conclusion: MRH is common after hospital discharge in older adults, but methodological inconsistencies between studies and a paucity of data on risk factors limits clear understanding of the epidemiology. There is a need for international consensus on conducting and reporting MRH studies. Data from large, multicenter studies examining a range of biopsychosocial risk factors could provide insight into this important area of safety.","author":[{"dropping-particle":"","family":"Parekh","given":"Nikesh","non-dropping-particle":"","parse-names":false,"suffix":""},{"dropping-particle":"","family":"Ali","given":"Khalid","non-dropping-particle":"","parse-names":false,"suffix":""},{"dropping-particle":"","family":"Page","given":"Amy","non-dropping-particle":"","parse-names":false,"suffix":""},{"dropping-particle":"","family":"Roper","given":"Tom","non-dropping-particle":"","parse-names":false,"suffix":""},{"dropping-particle":"","family":"Rajkumar","given":"Chakravarthi","non-dropping-particle":"","parse-names":false,"suffix":""}],"container-title":"Journal of the American Geriatrics Society","id":"ITEM-1","issue":"9","issued":{"date-parts":[["2018","9","1"]]},"page":"1812-1822","publisher":"Blackwell Publishing Inc.","title":"Incidence of Medication-Related Harm in Older Adults After Hospital Discharge: A Systematic Review","type":"article-journal","volume":"66"},"uris":["http://www.mendeley.com/documents/?uuid=4fc26614-ab81-3ef7-8e69-fb9cca623a48"]},{"id":"ITEM-2","itemData":{"DOI":"10.1111/bcp.13613","ISSN":"13652125","PMID":"29790202","abstract":"Aims: Polypharmacy is increasingly common in older adults, placing them at risk of medication-related harm (MRH). Patients are particularly vulnerable to problems with their medications in the period following hospital discharge due to medication changes and poor information transfer between hospital and primary care. The aim of the present study was to investigate the incidence, severity, preventability and cost of MRH in older adults in England postdischarge. Methods: An observational, multicentre, prospective cohort study recruited 1280 older adults (median age 82 years) from five teaching hospitals in Southern England, UK. Participants were followed up for 8 weeks by senior pharmacists, using three data sources (hospital readmission review, participant telephone interview and primary care records), to identify MRH and associated health service utilization. Results: Overall, 413 participants (37%) experienced MRH (556 MRH events per 1000 discharges), of which 336 (81%) cases were serious and 214 (52%) potentially preventable. Four participants experienced fatal MRH. The most common MRH events were gastrointestinal (n = 158, 25%) or neurological (n = 111, 18%). The medicine classes associated with the highest risk of MRH were opiates, antibiotics and benzodiazepines. A total of 328 (79%) participants with MRH sought healthcare over the 8-week follow-up. The incidence of MRH-associated hospital readmission was 78 per 1000 discharges. Postdischarge MRH in older adults is estimated to cost the National Health Service £396 million annually, of which £243 million is potentially preventable. Conclusions: MRH is common in older adults following hospital discharge, and results in substantial use of healthcare resources.","author":[{"dropping-particle":"","family":"Parekh","given":"Nikesh","non-dropping-particle":"","parse-names":false,"suffix":""},{"dropping-particle":"","family":"Ali","given":"Khalid","non-dropping-particle":"","parse-names":false,"suffix":""},{"dropping-particle":"","family":"Stevenson","given":"Jennifer M.","non-dropping-particle":"","parse-names":false,"suffix":""},{"dropping-particle":"","family":"Davies","given":"J. Graham","non-dropping-particle":"","parse-names":false,"suffix":""},{"dropping-particle":"","family":"Schiff","given":"Rebekah","non-dropping-particle":"","parse-names":false,"suffix":""},{"dropping-particle":"","family":"Cammen","given":"Tischa","non-dropping-particle":"Van der","parse-names":false,"suffix":""},{"dropping-particle":"","family":"Harchowal","given":"Jatinder","non-dropping-particle":"","parse-names":false,"suffix":""},{"dropping-particle":"","family":"Raftery","given":"James","non-dropping-particle":"","parse-names":false,"suffix":""},{"dropping-particle":"","family":"Rajkumar","given":"Chakravarthi","non-dropping-particle":"","parse-names":false,"suffix":""}],"container-title":"British Journal of Clinical Pharmacology","id":"ITEM-2","issue":"8","issued":{"date-parts":[["2018","8","1"]]},"page":"1789-1797","publisher":"Blackwell Publishing Ltd","title":"Incidence and cost of medication harm in older adults following hospital discharge: a multicentre prospective study in the UK","type":"article-journal","volume":"84"},"uris":["http://www.mendeley.com/documents/?uuid=267249f8-c15b-36eb-a73e-766230bc292e"]},{"id":"ITEM-3","itemData":{"DOI":"10.2147/CIA.S65475","ISSN":"11781998","PMID":"25278750","abstract":"Adverse drug reaction (ADR) risk-prediction models for use in older adults have been developed, but it is not clear if they are suitable for use in clinical practice. This systematic review aimed to identify and investigate the quality of validated ADR risk-prediction models for use in older adults. Standard computerized databases, the gray literature, bibliographies, and citations were searched (2012) to identify relevant peer-reviewed studies. Studies that developed and validated an ADR prediction model for use in patients over 65 years old, using a multivariable approach in the design and analysis, were included. Data were extracted and their quality assessed by independent reviewers using a standard approach. Of the 13,423 titles identified, only 549 were associated with adverse outcomes of medicines use. Four met the inclusion criteria. All were conducted in inpatient cohorts in Western Europe. None of the models satisfied the four key stages in the creation of a quality risk prediction model; development and validation were completed, but impact and implementation were not assessed. Model performance was modest; area under the receiver operator curve ranged from 0.623 to 0.73. Study quality was difficult to assess due to poor reporting, but inappropriate methods were apparent. Further work needs to be conducted concerning the existing models to enable the development of a robust ADR risk-prediction model that is externally validated, with practical design and good performance. Only then can implementation and impact be assessed with the aim of generatinga model of high enough quality to be considered for use in clinical care to prioritize older people at high risk of suffering an ADR.","author":[{"dropping-particle":"","family":"Stevenson","given":"Jennifer M.","non-dropping-particle":"","parse-names":false,"suffix":""},{"dropping-particle":"","family":"Williams","given":"Josceline L.","non-dropping-particle":"","parse-names":false,"suffix":""},{"dropping-particle":"","family":"Burnham","given":"Thomas G.","non-dropping-particle":"","parse-names":false,"suffix":""},{"dropping-particle":"","family":"Prevost","given":"A. Toby","non-dropping-particle":"","parse-names":false,"suffix":""},{"dropping-particle":"","family":"Schiff","given":"Rebekah","non-dropping-particle":"","parse-names":false,"suffix":""},{"dropping-particle":"","family":"Erskine","given":"S. David","non-dropping-particle":"","parse-names":false,"suffix":""},{"dropping-particle":"","family":"Davies","given":"J. Graham","non-dropping-particle":"","parse-names":false,"suffix":""}],"container-title":"Clinical Interventions in Aging","id":"ITEM-3","issued":{"date-parts":[["2014","9","19"]]},"page":"1581-1593","publisher":"Dove Medical Press Ltd.","title":"Predicting adverse drug reactions in older adults; A systematic review of the risk prediction models","type":"article-journal","volume":"9"},"uris":["http://www.mendeley.com/documents/?uuid=6c01fffe-4bf8-3dbd-b463-ca826c82d069"]}],"mendeley":{"formattedCitation":"(1,2,6)","plainTextFormattedCitation":"(1,2,6)","previouslyFormattedCitation":"(1,2,6)"},"properties":{"noteIndex":0},"schema":"https://github.com/citation-style-language/schema/raw/master/csl-citation.json"}</w:instrText>
      </w:r>
      <w:r w:rsidR="006D0773">
        <w:rPr>
          <w:color w:val="000000" w:themeColor="text1"/>
        </w:rPr>
        <w:fldChar w:fldCharType="separate"/>
      </w:r>
      <w:r w:rsidR="000F1B04" w:rsidRPr="000F1B04">
        <w:rPr>
          <w:noProof/>
          <w:color w:val="000000" w:themeColor="text1"/>
        </w:rPr>
        <w:t>(1,2,6)</w:t>
      </w:r>
      <w:r w:rsidR="006D0773">
        <w:rPr>
          <w:color w:val="000000" w:themeColor="text1"/>
        </w:rPr>
        <w:fldChar w:fldCharType="end"/>
      </w:r>
      <w:r w:rsidR="00B9268C" w:rsidRPr="00047F27">
        <w:rPr>
          <w:color w:val="000000" w:themeColor="text1"/>
        </w:rPr>
        <w:t>.</w:t>
      </w:r>
      <w:r w:rsidR="002719F8" w:rsidRPr="00047F27">
        <w:rPr>
          <w:color w:val="000000" w:themeColor="text1"/>
        </w:rPr>
        <w:t xml:space="preserve"> </w:t>
      </w:r>
      <w:r w:rsidR="00AA2C93" w:rsidRPr="00047F27">
        <w:rPr>
          <w:color w:val="000000" w:themeColor="text1"/>
        </w:rPr>
        <w:t>W</w:t>
      </w:r>
      <w:r w:rsidR="008D0016" w:rsidRPr="00047F27">
        <w:rPr>
          <w:color w:val="000000" w:themeColor="text1"/>
        </w:rPr>
        <w:t xml:space="preserve">hilst there is no formal definition for the cut off for ‘high-risk’ provided for the </w:t>
      </w:r>
      <w:r w:rsidR="008D0016">
        <w:t>PRIME-RPT, th</w:t>
      </w:r>
      <w:r w:rsidR="00AA2C93">
        <w:t>e</w:t>
      </w:r>
      <w:r w:rsidR="008D0016">
        <w:t xml:space="preserve"> absolute risk allows referral for </w:t>
      </w:r>
      <w:r w:rsidR="008D0016" w:rsidRPr="004D199F">
        <w:rPr>
          <w:color w:val="000000" w:themeColor="text1"/>
        </w:rPr>
        <w:t xml:space="preserve">follow-up based on highest risk score. </w:t>
      </w:r>
      <w:r w:rsidR="004705DA" w:rsidRPr="004D199F">
        <w:rPr>
          <w:color w:val="000000" w:themeColor="text1"/>
        </w:rPr>
        <w:t xml:space="preserve">The PRIME-RPT could be integrated into proposed national </w:t>
      </w:r>
      <w:r w:rsidR="00E871EA" w:rsidRPr="004D199F">
        <w:rPr>
          <w:color w:val="000000" w:themeColor="text1"/>
        </w:rPr>
        <w:t>UK initi</w:t>
      </w:r>
      <w:r w:rsidR="004705DA" w:rsidRPr="004D199F">
        <w:rPr>
          <w:color w:val="000000" w:themeColor="text1"/>
        </w:rPr>
        <w:t>atives</w:t>
      </w:r>
      <w:r w:rsidR="00E871EA" w:rsidRPr="004D199F">
        <w:rPr>
          <w:color w:val="000000" w:themeColor="text1"/>
        </w:rPr>
        <w:t xml:space="preserve"> such as </w:t>
      </w:r>
      <w:r w:rsidR="00A17F17" w:rsidRPr="004D199F">
        <w:rPr>
          <w:color w:val="000000" w:themeColor="text1"/>
        </w:rPr>
        <w:t>the Discharge Medicine Service (</w:t>
      </w:r>
      <w:r w:rsidR="00AF37F1" w:rsidRPr="004D199F">
        <w:rPr>
          <w:color w:val="000000" w:themeColor="text1"/>
        </w:rPr>
        <w:t>DMS</w:t>
      </w:r>
      <w:r w:rsidR="00A17F17" w:rsidRPr="004D199F">
        <w:rPr>
          <w:color w:val="000000" w:themeColor="text1"/>
        </w:rPr>
        <w:t xml:space="preserve">) </w:t>
      </w:r>
      <w:r w:rsidR="00B01BB0" w:rsidRPr="004D199F">
        <w:rPr>
          <w:color w:val="000000" w:themeColor="text1"/>
        </w:rPr>
        <w:t xml:space="preserve">which aims </w:t>
      </w:r>
      <w:r w:rsidR="00A17F17" w:rsidRPr="004D199F">
        <w:rPr>
          <w:color w:val="000000" w:themeColor="text1"/>
        </w:rPr>
        <w:t xml:space="preserve">to </w:t>
      </w:r>
      <w:r w:rsidR="00B01BB0" w:rsidRPr="004D199F">
        <w:rPr>
          <w:color w:val="000000" w:themeColor="text1"/>
        </w:rPr>
        <w:t>reduce MRH following hospital discharge</w:t>
      </w:r>
      <w:r w:rsidR="00E438D9" w:rsidRPr="004D199F">
        <w:rPr>
          <w:color w:val="000000" w:themeColor="text1"/>
        </w:rPr>
        <w:t xml:space="preserve"> </w:t>
      </w:r>
      <w:r w:rsidR="00E438D9" w:rsidRPr="004D199F">
        <w:rPr>
          <w:color w:val="000000" w:themeColor="text1"/>
        </w:rPr>
        <w:fldChar w:fldCharType="begin" w:fldLock="1"/>
      </w:r>
      <w:r w:rsidR="00A67EF4">
        <w:rPr>
          <w:color w:val="000000" w:themeColor="text1"/>
        </w:rPr>
        <w:instrText>ADDIN CSL_CITATION {"citationItems":[{"id":"ITEM-1","itemData":{"URL":"https://psnc.org.uk/services-commissioning/essential-services/discharge-medicines-service/","accessed":{"date-parts":[["2022","4","9"]]},"author":[{"dropping-particle":"","family":"Pharmaceutical Services Negotiating Committee","given":"","non-dropping-particle":"","parse-names":false,"suffix":""}],"container-title":"PSNC","id":"ITEM-1","issued":{"date-parts":[["2022"]]},"page":"1","title":"Discharge Medicines Service","type":"webpage"},"uris":["http://www.mendeley.com/documents/?uuid=a5ac50b3-f9b6-324e-9e7c-886fb1baa18b"]}],"mendeley":{"formattedCitation":"(19)","plainTextFormattedCitation":"(19)","previouslyFormattedCitation":"(19)"},"properties":{"noteIndex":0},"schema":"https://github.com/citation-style-language/schema/raw/master/csl-citation.json"}</w:instrText>
      </w:r>
      <w:r w:rsidR="00E438D9" w:rsidRPr="004D199F">
        <w:rPr>
          <w:color w:val="000000" w:themeColor="text1"/>
        </w:rPr>
        <w:fldChar w:fldCharType="separate"/>
      </w:r>
      <w:r w:rsidR="00923585" w:rsidRPr="00923585">
        <w:rPr>
          <w:noProof/>
          <w:color w:val="000000" w:themeColor="text1"/>
        </w:rPr>
        <w:t>(19)</w:t>
      </w:r>
      <w:r w:rsidR="00E438D9" w:rsidRPr="004D199F">
        <w:rPr>
          <w:color w:val="000000" w:themeColor="text1"/>
        </w:rPr>
        <w:fldChar w:fldCharType="end"/>
      </w:r>
      <w:r w:rsidR="00B01BB0" w:rsidRPr="004D199F">
        <w:rPr>
          <w:color w:val="000000" w:themeColor="text1"/>
        </w:rPr>
        <w:t xml:space="preserve">. </w:t>
      </w:r>
      <w:r w:rsidR="00E438D9" w:rsidRPr="004D199F">
        <w:rPr>
          <w:color w:val="000000" w:themeColor="text1"/>
        </w:rPr>
        <w:t>DMS</w:t>
      </w:r>
      <w:r w:rsidR="00B474D5" w:rsidRPr="004D199F">
        <w:rPr>
          <w:color w:val="000000" w:themeColor="text1"/>
        </w:rPr>
        <w:t xml:space="preserve"> uses electronic referral platform</w:t>
      </w:r>
      <w:r w:rsidR="00E438D9" w:rsidRPr="004D199F">
        <w:rPr>
          <w:color w:val="000000" w:themeColor="text1"/>
        </w:rPr>
        <w:t>s</w:t>
      </w:r>
      <w:r w:rsidR="00B474D5" w:rsidRPr="004D199F">
        <w:rPr>
          <w:color w:val="000000" w:themeColor="text1"/>
        </w:rPr>
        <w:t xml:space="preserve"> through which patient discharge summaries and medication information are sent to community pharmacists responsible for providing post-discharge patient support</w:t>
      </w:r>
      <w:r w:rsidR="006260F2" w:rsidRPr="004D199F">
        <w:rPr>
          <w:color w:val="000000" w:themeColor="text1"/>
        </w:rPr>
        <w:t xml:space="preserve"> </w:t>
      </w:r>
      <w:r w:rsidR="006260F2" w:rsidRPr="004D199F">
        <w:rPr>
          <w:color w:val="000000" w:themeColor="text1"/>
        </w:rPr>
        <w:fldChar w:fldCharType="begin" w:fldLock="1"/>
      </w:r>
      <w:r w:rsidR="00A67EF4">
        <w:rPr>
          <w:color w:val="000000" w:themeColor="text1"/>
        </w:rPr>
        <w:instrText>ADDIN CSL_CITATION {"citationItems":[{"id":"ITEM-1","itemData":{"URL":"https://psnc.org.uk/services-commissioning/essential-services/discharge-medicines-service/","accessed":{"date-parts":[["2022","4","9"]]},"author":[{"dropping-particle":"","family":"Pharmaceutical Services Negotiating Committee","given":"","non-dropping-particle":"","parse-names":false,"suffix":""}],"container-title":"PSNC","id":"ITEM-1","issued":{"date-parts":[["2022"]]},"page":"1","title":"Discharge Medicines Service","type":"webpage"},"uris":["http://www.mendeley.com/documents/?uuid=a5ac50b3-f9b6-324e-9e7c-886fb1baa18b"]}],"mendeley":{"formattedCitation":"(19)","plainTextFormattedCitation":"(19)","previouslyFormattedCitation":"(19)"},"properties":{"noteIndex":0},"schema":"https://github.com/citation-style-language/schema/raw/master/csl-citation.json"}</w:instrText>
      </w:r>
      <w:r w:rsidR="006260F2" w:rsidRPr="004D199F">
        <w:rPr>
          <w:color w:val="000000" w:themeColor="text1"/>
        </w:rPr>
        <w:fldChar w:fldCharType="separate"/>
      </w:r>
      <w:r w:rsidR="00923585" w:rsidRPr="00923585">
        <w:rPr>
          <w:noProof/>
          <w:color w:val="000000" w:themeColor="text1"/>
        </w:rPr>
        <w:t>(19)</w:t>
      </w:r>
      <w:r w:rsidR="006260F2" w:rsidRPr="004D199F">
        <w:rPr>
          <w:color w:val="000000" w:themeColor="text1"/>
        </w:rPr>
        <w:fldChar w:fldCharType="end"/>
      </w:r>
      <w:r w:rsidR="00B474D5" w:rsidRPr="004D199F">
        <w:rPr>
          <w:color w:val="000000" w:themeColor="text1"/>
        </w:rPr>
        <w:t>. The PRIME-RPT can be used to identify patients who require extra medication support in the community</w:t>
      </w:r>
      <w:r w:rsidR="00A17F17" w:rsidRPr="004D199F">
        <w:rPr>
          <w:color w:val="000000" w:themeColor="text1"/>
        </w:rPr>
        <w:t xml:space="preserve">, </w:t>
      </w:r>
      <w:r w:rsidR="0083762D">
        <w:rPr>
          <w:color w:val="000000" w:themeColor="text1"/>
        </w:rPr>
        <w:t>which may</w:t>
      </w:r>
      <w:r w:rsidR="00B01BB0" w:rsidRPr="004D199F">
        <w:rPr>
          <w:color w:val="000000" w:themeColor="text1"/>
        </w:rPr>
        <w:t xml:space="preserve"> reduce MRH</w:t>
      </w:r>
      <w:r w:rsidR="00A17F17" w:rsidRPr="004D199F">
        <w:rPr>
          <w:color w:val="000000" w:themeColor="text1"/>
        </w:rPr>
        <w:t xml:space="preserve">. </w:t>
      </w:r>
    </w:p>
    <w:p w14:paraId="73379717" w14:textId="77777777" w:rsidR="005E2B65" w:rsidRPr="004D199F" w:rsidRDefault="005E2B65" w:rsidP="00B34605">
      <w:pPr>
        <w:jc w:val="both"/>
        <w:rPr>
          <w:color w:val="000000" w:themeColor="text1"/>
        </w:rPr>
      </w:pPr>
    </w:p>
    <w:p w14:paraId="2C8C47C9" w14:textId="40056D06" w:rsidR="005301E0" w:rsidRPr="00F8729F" w:rsidRDefault="005E2B65" w:rsidP="00B34605">
      <w:pPr>
        <w:jc w:val="both"/>
        <w:rPr>
          <w:color w:val="000000" w:themeColor="text1"/>
        </w:rPr>
      </w:pPr>
      <w:r w:rsidRPr="004D199F">
        <w:rPr>
          <w:color w:val="000000" w:themeColor="text1"/>
        </w:rPr>
        <w:t xml:space="preserve">We </w:t>
      </w:r>
      <w:r w:rsidR="00A17F17" w:rsidRPr="00FC0FFC">
        <w:rPr>
          <w:color w:val="000000" w:themeColor="text1"/>
        </w:rPr>
        <w:t>acknowledge</w:t>
      </w:r>
      <w:r w:rsidRPr="00FC0FFC">
        <w:rPr>
          <w:color w:val="000000" w:themeColor="text1"/>
        </w:rPr>
        <w:t xml:space="preserve"> that our findings are</w:t>
      </w:r>
      <w:r w:rsidR="00354768" w:rsidRPr="00FC0FFC">
        <w:rPr>
          <w:color w:val="000000" w:themeColor="text1"/>
        </w:rPr>
        <w:t xml:space="preserve"> only</w:t>
      </w:r>
      <w:r w:rsidRPr="00FC0FFC">
        <w:rPr>
          <w:color w:val="000000" w:themeColor="text1"/>
        </w:rPr>
        <w:t xml:space="preserve"> based on </w:t>
      </w:r>
      <w:r w:rsidR="00A17F17" w:rsidRPr="00FC0FFC">
        <w:rPr>
          <w:color w:val="000000" w:themeColor="text1"/>
        </w:rPr>
        <w:t>a</w:t>
      </w:r>
      <w:r w:rsidRPr="00FC0FFC">
        <w:rPr>
          <w:color w:val="000000" w:themeColor="text1"/>
        </w:rPr>
        <w:t xml:space="preserve"> sample of</w:t>
      </w:r>
      <w:r w:rsidR="0020606C" w:rsidRPr="00FC0FFC">
        <w:rPr>
          <w:color w:val="000000" w:themeColor="text1"/>
        </w:rPr>
        <w:t xml:space="preserve"> ten</w:t>
      </w:r>
      <w:r w:rsidRPr="00FC0FFC">
        <w:rPr>
          <w:color w:val="000000" w:themeColor="text1"/>
        </w:rPr>
        <w:t xml:space="preserve"> hospital pharmacists.</w:t>
      </w:r>
      <w:r w:rsidR="00AA2C93" w:rsidRPr="00FC0FFC">
        <w:rPr>
          <w:color w:val="000000" w:themeColor="text1"/>
        </w:rPr>
        <w:t xml:space="preserve"> </w:t>
      </w:r>
      <w:r w:rsidR="00A17F17" w:rsidRPr="007E4CBD">
        <w:rPr>
          <w:color w:val="000000" w:themeColor="text1"/>
        </w:rPr>
        <w:t>Patients and o</w:t>
      </w:r>
      <w:r w:rsidR="00AA2C93" w:rsidRPr="007E4CBD">
        <w:rPr>
          <w:color w:val="000000" w:themeColor="text1"/>
        </w:rPr>
        <w:t>ther key</w:t>
      </w:r>
      <w:r w:rsidRPr="007E4CBD">
        <w:rPr>
          <w:color w:val="000000" w:themeColor="text1"/>
        </w:rPr>
        <w:t xml:space="preserve"> stakeholders</w:t>
      </w:r>
      <w:r w:rsidR="00A17F17" w:rsidRPr="007E4CBD">
        <w:rPr>
          <w:color w:val="000000" w:themeColor="text1"/>
        </w:rPr>
        <w:t xml:space="preserve"> such as</w:t>
      </w:r>
      <w:r w:rsidR="00D91C53" w:rsidRPr="007E4CBD">
        <w:rPr>
          <w:color w:val="000000" w:themeColor="text1"/>
        </w:rPr>
        <w:t xml:space="preserve"> hospital doctors, GPs and community pharmacists were not included.</w:t>
      </w:r>
      <w:r w:rsidR="00354768" w:rsidRPr="007E4CBD">
        <w:rPr>
          <w:color w:val="000000" w:themeColor="text1"/>
        </w:rPr>
        <w:t xml:space="preserve"> </w:t>
      </w:r>
      <w:r w:rsidR="00FC0FFC" w:rsidRPr="007E4CBD">
        <w:rPr>
          <w:color w:val="000000" w:themeColor="text1"/>
        </w:rPr>
        <w:t xml:space="preserve">Similarly, </w:t>
      </w:r>
      <w:r w:rsidR="00FC0FFC" w:rsidRPr="007E4CBD">
        <w:rPr>
          <w:rFonts w:eastAsiaTheme="minorHAnsi"/>
          <w:color w:val="000000" w:themeColor="text1"/>
          <w:lang w:eastAsia="en-US"/>
        </w:rPr>
        <w:t>using case vignettes may no</w:t>
      </w:r>
      <w:r w:rsidR="00A705DF" w:rsidRPr="007E4CBD">
        <w:rPr>
          <w:rFonts w:eastAsiaTheme="minorHAnsi"/>
          <w:color w:val="000000" w:themeColor="text1"/>
          <w:lang w:eastAsia="en-US"/>
        </w:rPr>
        <w:t>t capture the full range of clinical encounters where pharmacists regularly manage in clinical practice</w:t>
      </w:r>
      <w:r w:rsidR="00475A15" w:rsidRPr="007E4CBD">
        <w:rPr>
          <w:rFonts w:eastAsiaTheme="minorHAnsi"/>
          <w:color w:val="000000" w:themeColor="text1"/>
          <w:lang w:eastAsia="en-US"/>
        </w:rPr>
        <w:t xml:space="preserve">. </w:t>
      </w:r>
      <w:r w:rsidR="00A705DF" w:rsidRPr="007E4CBD">
        <w:rPr>
          <w:rFonts w:eastAsiaTheme="minorHAnsi"/>
          <w:color w:val="000000" w:themeColor="text1"/>
          <w:lang w:eastAsia="en-US"/>
        </w:rPr>
        <w:t xml:space="preserve">The hospital setting of all the case vignettes discussed with pharmacists only may not capture the full range of opinions that could be generated from other members of the clinical team such as doctors and nurses. </w:t>
      </w:r>
      <w:r w:rsidR="00FC0FFC" w:rsidRPr="007E4CBD">
        <w:rPr>
          <w:color w:val="000000" w:themeColor="text1"/>
        </w:rPr>
        <w:t xml:space="preserve">However, our preliminary findings could inform </w:t>
      </w:r>
      <w:r w:rsidR="00A705DF" w:rsidRPr="007E4CBD">
        <w:rPr>
          <w:color w:val="000000" w:themeColor="text1"/>
        </w:rPr>
        <w:t>a tailored discussion with</w:t>
      </w:r>
      <w:r w:rsidR="00FC0FFC" w:rsidRPr="007E4CBD">
        <w:rPr>
          <w:color w:val="000000" w:themeColor="text1"/>
        </w:rPr>
        <w:t xml:space="preserve"> </w:t>
      </w:r>
      <w:r w:rsidR="00A705DF" w:rsidRPr="007E4CBD">
        <w:rPr>
          <w:color w:val="000000" w:themeColor="text1"/>
        </w:rPr>
        <w:t xml:space="preserve">additional </w:t>
      </w:r>
      <w:r w:rsidR="00FC0FFC" w:rsidRPr="007E4CBD">
        <w:rPr>
          <w:color w:val="000000" w:themeColor="text1"/>
        </w:rPr>
        <w:t>groups.</w:t>
      </w:r>
      <w:r w:rsidR="00475A15" w:rsidRPr="007E4CBD">
        <w:rPr>
          <w:rFonts w:eastAsiaTheme="minorHAnsi"/>
          <w:color w:val="000000" w:themeColor="text1"/>
          <w:lang w:eastAsia="en-US"/>
        </w:rPr>
        <w:t xml:space="preserve"> </w:t>
      </w:r>
      <w:r w:rsidR="006A298B" w:rsidRPr="007E4CBD">
        <w:rPr>
          <w:bCs/>
          <w:color w:val="000000" w:themeColor="text1"/>
        </w:rPr>
        <w:t>P</w:t>
      </w:r>
      <w:r w:rsidR="00354768" w:rsidRPr="007E4CBD">
        <w:rPr>
          <w:bCs/>
          <w:color w:val="000000" w:themeColor="text1"/>
        </w:rPr>
        <w:t xml:space="preserve">ractical limitations </w:t>
      </w:r>
      <w:r w:rsidR="00354768" w:rsidRPr="004D199F">
        <w:rPr>
          <w:bCs/>
          <w:color w:val="000000" w:themeColor="text1"/>
        </w:rPr>
        <w:t>to widespread adoption of the PRIME</w:t>
      </w:r>
      <w:r w:rsidR="00BE0FA7">
        <w:rPr>
          <w:bCs/>
          <w:color w:val="000000" w:themeColor="text1"/>
        </w:rPr>
        <w:t>-</w:t>
      </w:r>
      <w:r w:rsidR="00354768" w:rsidRPr="004D199F">
        <w:rPr>
          <w:bCs/>
          <w:color w:val="000000" w:themeColor="text1"/>
        </w:rPr>
        <w:t xml:space="preserve">RPT include the need for impact studies </w:t>
      </w:r>
      <w:r w:rsidR="00354768" w:rsidRPr="004D199F">
        <w:rPr>
          <w:color w:val="000000" w:themeColor="text1"/>
        </w:rPr>
        <w:t>to assess the effect of using such a tool on clinician behaviour, patient outcomes, and cost-effectiveness of care</w:t>
      </w:r>
      <w:r w:rsidR="00A7310D">
        <w:rPr>
          <w:color w:val="000000" w:themeColor="text1"/>
        </w:rPr>
        <w:fldChar w:fldCharType="begin" w:fldLock="1"/>
      </w:r>
      <w:r w:rsidR="00A7310D">
        <w:rPr>
          <w:color w:val="000000" w:themeColor="text1"/>
        </w:rPr>
        <w:instrText>ADDIN CSL_CITATION {"citationItems":[{"id":"ITEM-1","itemData":{"DOI":"10.1136/bmj.b606","ISSN":"17561833","PMID":"19502216","author":[{"dropping-particle":"","family":"Moons","given":"Karel G.M.","non-dropping-particle":"","parse-names":false,"suffix":""},{"dropping-particle":"","family":"Altman","given":"Douglas G.","non-dropping-particle":"","parse-names":false,"suffix":""},{"dropping-particle":"","family":"Vergouwe","given":"Yvonne","non-dropping-particle":"","parse-names":false,"suffix":""},{"dropping-particle":"","family":"Royston","given":"Patrick","non-dropping-particle":"","parse-names":false,"suffix":""}],"container-title":"BMJ","id":"ITEM-1","issue":"7709","issued":{"date-parts":[["2009","6","20"]]},"page":"1487-1490","publisher":"BMJ","title":"Prognosis and prognostic research: Application and impact of prognostic models in clinical practice","type":"article-journal","volume":"338"},"uris":["http://www.mendeley.com/documents/?uuid=b9b84f5a-dfb5-333b-83b8-a45daa82d889"]}],"mendeley":{"formattedCitation":"(20)","plainTextFormattedCitation":"(20)"},"properties":{"noteIndex":0},"schema":"https://github.com/citation-style-language/schema/raw/master/csl-citation.json"}</w:instrText>
      </w:r>
      <w:r w:rsidR="00A7310D">
        <w:rPr>
          <w:color w:val="000000" w:themeColor="text1"/>
        </w:rPr>
        <w:fldChar w:fldCharType="separate"/>
      </w:r>
      <w:r w:rsidR="00A7310D" w:rsidRPr="00A7310D">
        <w:rPr>
          <w:noProof/>
          <w:color w:val="000000" w:themeColor="text1"/>
        </w:rPr>
        <w:t>(20)</w:t>
      </w:r>
      <w:r w:rsidR="00A7310D">
        <w:rPr>
          <w:color w:val="000000" w:themeColor="text1"/>
        </w:rPr>
        <w:fldChar w:fldCharType="end"/>
      </w:r>
      <w:r w:rsidR="00354768" w:rsidRPr="004D199F">
        <w:rPr>
          <w:color w:val="000000" w:themeColor="text1"/>
        </w:rPr>
        <w:t>.</w:t>
      </w:r>
      <w:r w:rsidR="00C71025">
        <w:rPr>
          <w:color w:val="000000" w:themeColor="text1"/>
        </w:rPr>
        <w:t xml:space="preserve"> </w:t>
      </w:r>
      <w:r w:rsidR="006A298B" w:rsidRPr="004D199F">
        <w:rPr>
          <w:color w:val="000000" w:themeColor="text1"/>
        </w:rPr>
        <w:t>Future</w:t>
      </w:r>
      <w:r w:rsidR="00354768" w:rsidRPr="004D199F">
        <w:rPr>
          <w:color w:val="000000" w:themeColor="text1"/>
        </w:rPr>
        <w:t xml:space="preserve"> impact studies </w:t>
      </w:r>
      <w:r w:rsidR="006A298B" w:rsidRPr="004D199F">
        <w:rPr>
          <w:color w:val="000000" w:themeColor="text1"/>
        </w:rPr>
        <w:t>can inform</w:t>
      </w:r>
      <w:r w:rsidR="00354768" w:rsidRPr="004D199F">
        <w:rPr>
          <w:color w:val="000000" w:themeColor="text1"/>
        </w:rPr>
        <w:t xml:space="preserve"> the development of a decision support tool/implementation pathway</w:t>
      </w:r>
      <w:r w:rsidR="006A298B" w:rsidRPr="004D199F">
        <w:rPr>
          <w:color w:val="000000" w:themeColor="text1"/>
        </w:rPr>
        <w:t xml:space="preserve"> around medicines during transitions of care</w:t>
      </w:r>
      <w:r w:rsidR="00354768" w:rsidRPr="004D199F">
        <w:rPr>
          <w:color w:val="000000" w:themeColor="text1"/>
        </w:rPr>
        <w:t>.</w:t>
      </w:r>
      <w:r w:rsidR="00B45A66">
        <w:rPr>
          <w:color w:val="000000" w:themeColor="text1"/>
        </w:rPr>
        <w:t xml:space="preserve"> </w:t>
      </w:r>
      <w:r w:rsidR="00C71025">
        <w:rPr>
          <w:color w:val="000000" w:themeColor="text1"/>
        </w:rPr>
        <w:t>This may include signposting to existing resources such as the Scottish Polypharmacy Guidance</w:t>
      </w:r>
      <w:r w:rsidR="00F8729F">
        <w:rPr>
          <w:color w:val="000000" w:themeColor="text1"/>
        </w:rPr>
        <w:t xml:space="preserve"> </w:t>
      </w:r>
      <w:r w:rsidR="00F8729F">
        <w:rPr>
          <w:color w:val="000000" w:themeColor="text1"/>
        </w:rPr>
        <w:fldChar w:fldCharType="begin" w:fldLock="1"/>
      </w:r>
      <w:r w:rsidR="00A67EF4">
        <w:rPr>
          <w:color w:val="000000" w:themeColor="text1"/>
        </w:rPr>
        <w:instrText>ADDIN CSL_CITATION {"citationItems":[{"id":"ITEM-1","itemData":{"URL":"https://managemeds.scot.nhs.uk/for-healthcare-professionals/efficacy-nnt/","accessed":{"date-parts":[["2022","4","23"]]},"author":[{"dropping-particle":"","family":"NHS Education For Scotland","given":"","non-dropping-particle":"","parse-names":false,"suffix":""}],"id":"ITEM-1","issued":{"date-parts":[["2021"]]},"title":"Efficacy (NNT)","type":"webpage"},"uris":["http://www.mendeley.com/documents/?uuid=43b5bf5a-c475-38f5-8df0-95f4ccd25ecc"]}],"mendeley":{"formattedCitation":"(21)","plainTextFormattedCitation":"(21)","previouslyFormattedCitation":"(21)"},"properties":{"noteIndex":0},"schema":"https://github.com/citation-style-language/schema/raw/master/csl-citation.json"}</w:instrText>
      </w:r>
      <w:r w:rsidR="00F8729F">
        <w:rPr>
          <w:color w:val="000000" w:themeColor="text1"/>
        </w:rPr>
        <w:fldChar w:fldCharType="separate"/>
      </w:r>
      <w:r w:rsidR="00923585" w:rsidRPr="00923585">
        <w:rPr>
          <w:noProof/>
          <w:color w:val="000000" w:themeColor="text1"/>
        </w:rPr>
        <w:t>(21)</w:t>
      </w:r>
      <w:r w:rsidR="00F8729F">
        <w:rPr>
          <w:color w:val="000000" w:themeColor="text1"/>
        </w:rPr>
        <w:fldChar w:fldCharType="end"/>
      </w:r>
      <w:r w:rsidR="00F8729F">
        <w:rPr>
          <w:color w:val="000000" w:themeColor="text1"/>
        </w:rPr>
        <w:t xml:space="preserve">, </w:t>
      </w:r>
      <w:r w:rsidR="00C71025">
        <w:rPr>
          <w:color w:val="000000" w:themeColor="text1"/>
        </w:rPr>
        <w:t>STOPP START Toolkit</w:t>
      </w:r>
      <w:r w:rsidR="009E01B2">
        <w:rPr>
          <w:color w:val="000000" w:themeColor="text1"/>
        </w:rPr>
        <w:t xml:space="preserve"> </w:t>
      </w:r>
      <w:r w:rsidR="00F8729F">
        <w:rPr>
          <w:color w:val="000000" w:themeColor="text1"/>
        </w:rPr>
        <w:fldChar w:fldCharType="begin" w:fldLock="1"/>
      </w:r>
      <w:r w:rsidR="00A67EF4">
        <w:rPr>
          <w:color w:val="000000" w:themeColor="text1"/>
        </w:rPr>
        <w:instrText>ADDIN CSL_CITATION {"citationItems":[{"id":"ITEM-1","itemData":{"DOI":"10.1093/ageing/afu145","ISSN":"14682834","PMID":"25324330","abstract":"Purpose: screening tool of older people's prescriptions (STOPP) and screening tool to alert to right treatment (START) criteria were first published in 2008. Due to an expanding therapeutics evidence base, updating of the criteria was required.Methods: we reviewed the 2008 STOPP/START criteria to add new evidence-based criteria and remove any obsolete criteria. A thorough literature review was performed to reassess the evidence base of the 2008 criteria and the proposed new criteria. Nineteen experts from 13 European countries reviewed a new draft of STOPP &amp; START criteria including proposed new criteria. These experts were also asked to propose additional criteria they considered important to include in the revised STOPP &amp; START criteria and to highlight any criteria from the 2008 list they considered less important or lacking an evidence base. The revised list of criteria was then validated using the Delphi consensus methodology.Results: the expert panel agreed a final list of 114 criteria after two Delphi validation rounds, i.e. 80 STOPP criteria and 34 START criteria. This represents an overall 31% increase in STOPP/START criteria compared with version 1. Several new STOPP categories were created in version 2, namely antiplatelet/anticoagulant drugs, drugs affecting, or affected by, renal function and drugs that increase anticholinergic burden; new START categories include urogenital system drugs, analgesics and vaccines.Conclusion: STOPP/START version 2 criteria have been expanded and updated for the purpose of minimizing inappropriate prescribing in older people. These criteria are based on an up-to-date literature review and consensus validation among a European panel of experts.","author":[{"dropping-particle":"","family":"O'mahony","given":"Denis","non-dropping-particle":"","parse-names":false,"suffix":""},{"dropping-particle":"","family":"O'sullivan","given":"David","non-dropping-particle":"","parse-names":false,"suffix":""},{"dropping-particle":"","family":"Byrne","given":"Stephen","non-dropping-particle":"","parse-names":false,"suffix":""},{"dropping-particle":"","family":"O'connor","given":"Marie Noelle","non-dropping-particle":"","parse-names":false,"suffix":""},{"dropping-particle":"","family":"Ryan","given":"Cristin","non-dropping-particle":"","parse-names":false,"suffix":""},{"dropping-particle":"","family":"Gallagher","given":"Paul","non-dropping-particle":"","parse-names":false,"suffix":""}],"container-title":"Age and Ageing","id":"ITEM-1","issue":"2","issued":{"date-parts":[["2015"]]},"page":"213-218","title":"STOPP/START criteria for potentially inappropriate prescribing in older people: Version 2","type":"article-journal","volume":"44"},"uris":["http://www.mendeley.com/documents/?uuid=a749072e-4c62-32cb-8af0-71b1ff7d263a"]}],"mendeley":{"formattedCitation":"(22)","plainTextFormattedCitation":"(22)","previouslyFormattedCitation":"(22)"},"properties":{"noteIndex":0},"schema":"https://github.com/citation-style-language/schema/raw/master/csl-citation.json"}</w:instrText>
      </w:r>
      <w:r w:rsidR="00F8729F">
        <w:rPr>
          <w:color w:val="000000" w:themeColor="text1"/>
        </w:rPr>
        <w:fldChar w:fldCharType="separate"/>
      </w:r>
      <w:r w:rsidR="00923585" w:rsidRPr="00923585">
        <w:rPr>
          <w:noProof/>
          <w:color w:val="000000" w:themeColor="text1"/>
        </w:rPr>
        <w:t>(22)</w:t>
      </w:r>
      <w:r w:rsidR="00F8729F">
        <w:rPr>
          <w:color w:val="000000" w:themeColor="text1"/>
        </w:rPr>
        <w:fldChar w:fldCharType="end"/>
      </w:r>
      <w:r w:rsidR="00F8729F">
        <w:rPr>
          <w:color w:val="000000" w:themeColor="text1"/>
        </w:rPr>
        <w:t xml:space="preserve"> or the development of an entirely new toolkit</w:t>
      </w:r>
      <w:r w:rsidR="009E01B2">
        <w:rPr>
          <w:color w:val="000000" w:themeColor="text1"/>
        </w:rPr>
        <w:t xml:space="preserve">. </w:t>
      </w:r>
      <w:r w:rsidR="00354768" w:rsidRPr="004D199F">
        <w:rPr>
          <w:bCs/>
          <w:color w:val="000000" w:themeColor="text1"/>
        </w:rPr>
        <w:t>Th</w:t>
      </w:r>
      <w:r w:rsidR="006A298B" w:rsidRPr="004D199F">
        <w:rPr>
          <w:bCs/>
          <w:color w:val="000000" w:themeColor="text1"/>
        </w:rPr>
        <w:t>ese studies</w:t>
      </w:r>
      <w:r w:rsidR="00354768" w:rsidRPr="004D199F">
        <w:rPr>
          <w:bCs/>
          <w:color w:val="000000" w:themeColor="text1"/>
        </w:rPr>
        <w:t xml:space="preserve"> </w:t>
      </w:r>
      <w:r w:rsidR="006A298B" w:rsidRPr="004D199F">
        <w:rPr>
          <w:bCs/>
          <w:color w:val="000000" w:themeColor="text1"/>
        </w:rPr>
        <w:t>sh</w:t>
      </w:r>
      <w:r w:rsidR="00354768" w:rsidRPr="004D199F">
        <w:rPr>
          <w:bCs/>
          <w:color w:val="000000" w:themeColor="text1"/>
        </w:rPr>
        <w:t>ould ensure th</w:t>
      </w:r>
      <w:r w:rsidR="006A298B" w:rsidRPr="004D199F">
        <w:rPr>
          <w:bCs/>
          <w:color w:val="000000" w:themeColor="text1"/>
        </w:rPr>
        <w:t>at</w:t>
      </w:r>
      <w:r w:rsidR="00354768" w:rsidRPr="004D199F">
        <w:rPr>
          <w:bCs/>
          <w:color w:val="000000" w:themeColor="text1"/>
        </w:rPr>
        <w:t xml:space="preserve"> MRH risk information </w:t>
      </w:r>
      <w:r w:rsidR="006A298B" w:rsidRPr="004D199F">
        <w:rPr>
          <w:bCs/>
          <w:color w:val="000000" w:themeColor="text1"/>
        </w:rPr>
        <w:t>shared between patients and healthcare professionals</w:t>
      </w:r>
      <w:r w:rsidR="00354768" w:rsidRPr="004D199F">
        <w:rPr>
          <w:bCs/>
          <w:color w:val="000000" w:themeColor="text1"/>
        </w:rPr>
        <w:t xml:space="preserve"> is </w:t>
      </w:r>
      <w:r w:rsidR="00354768" w:rsidRPr="004D199F">
        <w:rPr>
          <w:color w:val="000000" w:themeColor="text1"/>
        </w:rPr>
        <w:t xml:space="preserve">statistically accurate, clinically meaningful, relevant and actionable </w:t>
      </w:r>
      <w:r w:rsidR="00354768" w:rsidRPr="004D199F">
        <w:rPr>
          <w:color w:val="000000" w:themeColor="text1"/>
        </w:rPr>
        <w:fldChar w:fldCharType="begin" w:fldLock="1"/>
      </w:r>
      <w:r w:rsidR="00A67EF4">
        <w:rPr>
          <w:color w:val="000000" w:themeColor="text1"/>
        </w:rPr>
        <w:instrText>ADDIN CSL_CITATION {"citationItems":[{"id":"ITEM-1","itemData":{"DOI":"10.1186/s41512-018-0033-6","ISSN":"2397-7523","abstract":"An important aim of clinical prediction models is to positively impact clinical decision making and subsequent patient outcomes. The impact on clinical decision making and patient outcome can be quantified in prospective comparative-ideally cluster-randomized-studies, known as 'impact studies'. However, such impact studies often require a lot of time and resources, especially when they are (cluster-)randomized studies. Before envisioning such large-scale randomized impact study, it is important to ensure a reasonable chance that the use of the prediction model by the targeted healthcare professionals and patients will indeed have a positive effect on both decision making and subsequent outcomes. We recently performed two differently designed, prospective impact studies on a clinical prediction model to be used in surgical patients. Both studies taught us new valuable lessons on several aspects of prediction model impact studies, and which considerations may guide researchers in their decision to conduct a prospective comparative impact study. We provide considerations on how to prepare a prediction model for implementation in practice, how to present the model predictions, and how to choose the proper design for a prediction model impact study.","author":[{"dropping-particle":"","family":"Kappen","given":"Teus H.","non-dropping-particle":"","parse-names":false,"suffix":""},{"dropping-particle":"","family":"Klei","given":"Wilton A.","non-dropping-particle":"van","parse-names":false,"suffix":""},{"dropping-particle":"","family":"Wolfswinkel","given":"Leo","non-dropping-particle":"van","parse-names":false,"suffix":""},{"dropping-particle":"","family":"Kalkman","given":"Cor J.","non-dropping-particle":"","parse-names":false,"suffix":""},{"dropping-particle":"","family":"Vergouwe","given":"Yvonne","non-dropping-particle":"","parse-names":false,"suffix":""},{"dropping-particle":"","family":"Moons","given":"Karel G. M.","non-dropping-particle":"","parse-names":false,"suffix":""}],"container-title":"Diagnostic and Prognostic Research","id":"ITEM-1","issue":"1","issued":{"date-parts":[["2018","6","12"]]},"page":"1-11","publisher":"BioMed Central","title":"Evaluating the impact of prediction models: lessons learned, challenges, and recommendations","type":"article-journal","volume":"2"},"uris":["http://www.mendeley.com/documents/?uuid=d0a1fc69-5204-3a2a-b094-4c2b7227659e"]}],"mendeley":{"formattedCitation":"(23)","plainTextFormattedCitation":"(23)","previouslyFormattedCitation":"(23)"},"properties":{"noteIndex":0},"schema":"https://github.com/citation-style-language/schema/raw/master/csl-citation.json"}</w:instrText>
      </w:r>
      <w:r w:rsidR="00354768" w:rsidRPr="004D199F">
        <w:rPr>
          <w:color w:val="000000" w:themeColor="text1"/>
        </w:rPr>
        <w:fldChar w:fldCharType="separate"/>
      </w:r>
      <w:r w:rsidR="00923585" w:rsidRPr="00923585">
        <w:rPr>
          <w:noProof/>
          <w:color w:val="000000" w:themeColor="text1"/>
        </w:rPr>
        <w:t>(23)</w:t>
      </w:r>
      <w:r w:rsidR="00354768" w:rsidRPr="004D199F">
        <w:rPr>
          <w:color w:val="000000" w:themeColor="text1"/>
        </w:rPr>
        <w:fldChar w:fldCharType="end"/>
      </w:r>
      <w:r w:rsidR="00354768" w:rsidRPr="004D199F">
        <w:rPr>
          <w:color w:val="000000" w:themeColor="text1"/>
        </w:rPr>
        <w:t>.</w:t>
      </w:r>
    </w:p>
    <w:p w14:paraId="322D1D8D" w14:textId="77777777" w:rsidR="00D70931" w:rsidRPr="004D199F" w:rsidRDefault="00D70931" w:rsidP="00B34605">
      <w:pPr>
        <w:jc w:val="both"/>
        <w:rPr>
          <w:bCs/>
          <w:color w:val="000000" w:themeColor="text1"/>
        </w:rPr>
      </w:pPr>
    </w:p>
    <w:p w14:paraId="6C0B064F" w14:textId="61E2C3BB" w:rsidR="003F22FA" w:rsidRPr="00EF7BCA" w:rsidRDefault="003F22FA" w:rsidP="00B34605">
      <w:pPr>
        <w:jc w:val="both"/>
        <w:rPr>
          <w:b/>
          <w:sz w:val="28"/>
          <w:szCs w:val="28"/>
        </w:rPr>
      </w:pPr>
      <w:r w:rsidRPr="00EF7BCA">
        <w:rPr>
          <w:b/>
          <w:sz w:val="28"/>
          <w:szCs w:val="28"/>
        </w:rPr>
        <w:t>Conclusion</w:t>
      </w:r>
    </w:p>
    <w:p w14:paraId="744CA105" w14:textId="77777777" w:rsidR="006435E8" w:rsidRPr="00EF7BCA" w:rsidRDefault="006435E8" w:rsidP="00B34605">
      <w:pPr>
        <w:jc w:val="both"/>
        <w:rPr>
          <w:bCs/>
        </w:rPr>
      </w:pPr>
    </w:p>
    <w:p w14:paraId="05602A4F" w14:textId="089B9385" w:rsidR="008E00BD" w:rsidRDefault="00226DBF" w:rsidP="00F821C1">
      <w:pPr>
        <w:jc w:val="both"/>
        <w:rPr>
          <w:color w:val="000000" w:themeColor="text1"/>
        </w:rPr>
      </w:pPr>
      <w:r w:rsidRPr="00EF7BCA">
        <w:rPr>
          <w:bCs/>
          <w:color w:val="000000" w:themeColor="text1"/>
        </w:rPr>
        <w:t xml:space="preserve">Our qualitative study demonstrated that the </w:t>
      </w:r>
      <w:r w:rsidRPr="00742B96">
        <w:rPr>
          <w:bCs/>
          <w:color w:val="000000" w:themeColor="text1"/>
        </w:rPr>
        <w:t>PRIME</w:t>
      </w:r>
      <w:r w:rsidR="00445F82">
        <w:rPr>
          <w:bCs/>
          <w:color w:val="000000" w:themeColor="text1"/>
        </w:rPr>
        <w:t xml:space="preserve">-RPT </w:t>
      </w:r>
      <w:r w:rsidRPr="00742B96">
        <w:rPr>
          <w:bCs/>
          <w:color w:val="000000" w:themeColor="text1"/>
        </w:rPr>
        <w:t xml:space="preserve">has </w:t>
      </w:r>
      <w:r w:rsidR="00372BA4" w:rsidRPr="00742B96">
        <w:rPr>
          <w:bCs/>
          <w:color w:val="000000" w:themeColor="text1"/>
        </w:rPr>
        <w:t>several advantages</w:t>
      </w:r>
      <w:r w:rsidR="003C154D" w:rsidRPr="00742B96">
        <w:rPr>
          <w:bCs/>
          <w:color w:val="000000" w:themeColor="text1"/>
        </w:rPr>
        <w:t xml:space="preserve"> from a hospital pharmacists’ perspective</w:t>
      </w:r>
      <w:r w:rsidR="00372BA4" w:rsidRPr="00742B96">
        <w:rPr>
          <w:bCs/>
          <w:color w:val="000000" w:themeColor="text1"/>
        </w:rPr>
        <w:t xml:space="preserve"> such as</w:t>
      </w:r>
      <w:r w:rsidR="003C154D" w:rsidRPr="00742B96">
        <w:rPr>
          <w:bCs/>
          <w:color w:val="000000" w:themeColor="text1"/>
        </w:rPr>
        <w:t xml:space="preserve"> targeting</w:t>
      </w:r>
      <w:r w:rsidR="00643218" w:rsidRPr="00742B96">
        <w:rPr>
          <w:bCs/>
          <w:color w:val="000000" w:themeColor="text1"/>
        </w:rPr>
        <w:t xml:space="preserve"> high-risk patients and prioritis</w:t>
      </w:r>
      <w:r w:rsidR="001C44B1" w:rsidRPr="00742B96">
        <w:rPr>
          <w:bCs/>
          <w:color w:val="000000" w:themeColor="text1"/>
        </w:rPr>
        <w:t>ing interventions</w:t>
      </w:r>
      <w:r w:rsidR="00643218" w:rsidRPr="00742B96">
        <w:rPr>
          <w:bCs/>
          <w:color w:val="000000" w:themeColor="text1"/>
        </w:rPr>
        <w:t xml:space="preserve">. </w:t>
      </w:r>
      <w:r w:rsidR="001C44B1" w:rsidRPr="00742B96">
        <w:rPr>
          <w:bCs/>
          <w:color w:val="000000" w:themeColor="text1"/>
        </w:rPr>
        <w:t>However</w:t>
      </w:r>
      <w:r w:rsidR="00824063" w:rsidRPr="00742B96">
        <w:rPr>
          <w:bCs/>
          <w:color w:val="000000" w:themeColor="text1"/>
        </w:rPr>
        <w:t>,</w:t>
      </w:r>
      <w:r w:rsidR="001C44B1" w:rsidRPr="00742B96">
        <w:rPr>
          <w:bCs/>
          <w:color w:val="000000" w:themeColor="text1"/>
        </w:rPr>
        <w:t xml:space="preserve"> more work is required</w:t>
      </w:r>
      <w:r w:rsidR="00D1367A" w:rsidRPr="00742B96">
        <w:rPr>
          <w:bCs/>
          <w:color w:val="000000" w:themeColor="text1"/>
        </w:rPr>
        <w:t xml:space="preserve"> to assess </w:t>
      </w:r>
      <w:r w:rsidR="00D1367A" w:rsidRPr="00742B96">
        <w:rPr>
          <w:color w:val="000000" w:themeColor="text1"/>
        </w:rPr>
        <w:t>the effect of using such a tool on clinician behaviour, patient outcomes,</w:t>
      </w:r>
      <w:r w:rsidR="00824063" w:rsidRPr="00742B96">
        <w:rPr>
          <w:color w:val="000000" w:themeColor="text1"/>
        </w:rPr>
        <w:t xml:space="preserve"> presentation of </w:t>
      </w:r>
      <w:r w:rsidR="00A46FF5" w:rsidRPr="00742B96">
        <w:rPr>
          <w:color w:val="000000" w:themeColor="text1"/>
        </w:rPr>
        <w:t xml:space="preserve">medicines </w:t>
      </w:r>
      <w:r w:rsidR="00824063" w:rsidRPr="00742B96">
        <w:rPr>
          <w:color w:val="000000" w:themeColor="text1"/>
        </w:rPr>
        <w:t>risk,</w:t>
      </w:r>
      <w:r w:rsidR="00D1367A" w:rsidRPr="00742B96">
        <w:rPr>
          <w:color w:val="000000" w:themeColor="text1"/>
        </w:rPr>
        <w:t xml:space="preserve"> and cost-effectiveness of</w:t>
      </w:r>
      <w:r w:rsidR="00A46FF5" w:rsidRPr="00742B96">
        <w:rPr>
          <w:color w:val="000000" w:themeColor="text1"/>
        </w:rPr>
        <w:t xml:space="preserve"> risk-stratification</w:t>
      </w:r>
      <w:r w:rsidR="00D1367A" w:rsidRPr="00742B96">
        <w:rPr>
          <w:color w:val="000000" w:themeColor="text1"/>
        </w:rPr>
        <w:t xml:space="preserve">. </w:t>
      </w:r>
    </w:p>
    <w:p w14:paraId="67A8B1B0" w14:textId="4DB58ECB" w:rsidR="00446237" w:rsidRDefault="00446237" w:rsidP="00F821C1">
      <w:pPr>
        <w:jc w:val="both"/>
        <w:rPr>
          <w:color w:val="000000" w:themeColor="text1"/>
        </w:rPr>
      </w:pPr>
    </w:p>
    <w:p w14:paraId="0B9A6861" w14:textId="21DB36B7" w:rsidR="002C4E24" w:rsidRDefault="002C4E24" w:rsidP="00A023A2">
      <w:pPr>
        <w:spacing w:after="160" w:line="259" w:lineRule="auto"/>
        <w:jc w:val="both"/>
        <w:rPr>
          <w:color w:val="000000" w:themeColor="text1"/>
        </w:rPr>
      </w:pPr>
    </w:p>
    <w:p w14:paraId="71CEDCE6" w14:textId="27FD5C44" w:rsidR="00544A2F" w:rsidRDefault="00544A2F" w:rsidP="00A023A2">
      <w:pPr>
        <w:spacing w:after="160" w:line="259" w:lineRule="auto"/>
        <w:jc w:val="both"/>
        <w:rPr>
          <w:color w:val="000000" w:themeColor="text1"/>
        </w:rPr>
      </w:pPr>
    </w:p>
    <w:p w14:paraId="3DC96828" w14:textId="72AD9CFF" w:rsidR="00544A2F" w:rsidRDefault="00544A2F" w:rsidP="00A023A2">
      <w:pPr>
        <w:spacing w:after="160" w:line="259" w:lineRule="auto"/>
        <w:jc w:val="both"/>
        <w:rPr>
          <w:color w:val="000000" w:themeColor="text1"/>
        </w:rPr>
      </w:pPr>
    </w:p>
    <w:p w14:paraId="096CD402" w14:textId="2F0DFD76" w:rsidR="00544A2F" w:rsidRDefault="00544A2F" w:rsidP="00A023A2">
      <w:pPr>
        <w:spacing w:after="160" w:line="259" w:lineRule="auto"/>
        <w:jc w:val="both"/>
        <w:rPr>
          <w:color w:val="000000" w:themeColor="text1"/>
        </w:rPr>
      </w:pPr>
    </w:p>
    <w:p w14:paraId="46C15C34" w14:textId="02FB038C" w:rsidR="00544A2F" w:rsidRDefault="00544A2F" w:rsidP="00A023A2">
      <w:pPr>
        <w:spacing w:after="160" w:line="259" w:lineRule="auto"/>
        <w:jc w:val="both"/>
        <w:rPr>
          <w:color w:val="000000" w:themeColor="text1"/>
        </w:rPr>
      </w:pPr>
    </w:p>
    <w:p w14:paraId="72C3BE5D" w14:textId="5A6AF1F1" w:rsidR="00544A2F" w:rsidRDefault="00544A2F" w:rsidP="00A023A2">
      <w:pPr>
        <w:spacing w:after="160" w:line="259" w:lineRule="auto"/>
        <w:jc w:val="both"/>
        <w:rPr>
          <w:color w:val="000000" w:themeColor="text1"/>
        </w:rPr>
      </w:pPr>
    </w:p>
    <w:p w14:paraId="53D09A91" w14:textId="77777777" w:rsidR="00544A2F" w:rsidRDefault="00544A2F" w:rsidP="00A023A2">
      <w:pPr>
        <w:spacing w:after="160" w:line="259" w:lineRule="auto"/>
        <w:jc w:val="both"/>
        <w:rPr>
          <w:color w:val="000000" w:themeColor="text1"/>
        </w:rPr>
      </w:pPr>
    </w:p>
    <w:p w14:paraId="1FA2DBEF" w14:textId="07B0257A" w:rsidR="00A023A2" w:rsidRPr="001C00B3" w:rsidRDefault="00A023A2" w:rsidP="00A023A2">
      <w:pPr>
        <w:spacing w:after="160" w:line="259" w:lineRule="auto"/>
        <w:jc w:val="both"/>
        <w:rPr>
          <w:b/>
          <w:bCs/>
        </w:rPr>
      </w:pPr>
      <w:r w:rsidRPr="001C00B3">
        <w:rPr>
          <w:b/>
          <w:bCs/>
        </w:rPr>
        <w:lastRenderedPageBreak/>
        <w:t>References:</w:t>
      </w:r>
    </w:p>
    <w:p w14:paraId="2FA5643C" w14:textId="548B1E66" w:rsidR="00A7310D" w:rsidRPr="00A7310D" w:rsidRDefault="00A023A2" w:rsidP="00A7310D">
      <w:pPr>
        <w:widowControl w:val="0"/>
        <w:autoSpaceDE w:val="0"/>
        <w:autoSpaceDN w:val="0"/>
        <w:adjustRightInd w:val="0"/>
        <w:spacing w:after="160"/>
        <w:ind w:left="640" w:hanging="640"/>
        <w:rPr>
          <w:rFonts w:ascii="Calibri" w:hAnsi="Calibri" w:cs="Calibri"/>
          <w:noProof/>
        </w:rPr>
      </w:pPr>
      <w:r>
        <w:fldChar w:fldCharType="begin" w:fldLock="1"/>
      </w:r>
      <w:r>
        <w:instrText xml:space="preserve">ADDIN Mendeley Bibliography CSL_BIBLIOGRAPHY </w:instrText>
      </w:r>
      <w:r>
        <w:fldChar w:fldCharType="separate"/>
      </w:r>
      <w:r w:rsidR="00A7310D" w:rsidRPr="00A7310D">
        <w:rPr>
          <w:rFonts w:ascii="Calibri" w:hAnsi="Calibri" w:cs="Calibri"/>
          <w:noProof/>
        </w:rPr>
        <w:t xml:space="preserve">1. </w:t>
      </w:r>
      <w:r w:rsidR="00A7310D" w:rsidRPr="00A7310D">
        <w:rPr>
          <w:rFonts w:ascii="Calibri" w:hAnsi="Calibri" w:cs="Calibri"/>
          <w:noProof/>
        </w:rPr>
        <w:tab/>
        <w:t xml:space="preserve">Parekh N, Ali K, Page A, Roper T, Rajkumar C. Incidence of Medication-Related Harm in Older Adults After Hospital Discharge: A Systematic Review. J Am Geriatr Soc. 2018;66:1812–22. </w:t>
      </w:r>
    </w:p>
    <w:p w14:paraId="770327D0" w14:textId="03324CE3"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2. </w:t>
      </w:r>
      <w:r w:rsidRPr="00A7310D">
        <w:rPr>
          <w:rFonts w:ascii="Calibri" w:hAnsi="Calibri" w:cs="Calibri"/>
          <w:noProof/>
        </w:rPr>
        <w:tab/>
        <w:t xml:space="preserve">Parekh N, Ali K, Stevenson JM, Davies JG, Schiff R, Van der Cammen T, et al. Incidence and cost of medication harm in older adults following hospital discharge: a multicentre prospective study in the UK. Br J Clin Pharmacol. 2018;84:1789–97. </w:t>
      </w:r>
    </w:p>
    <w:p w14:paraId="4F1B447B" w14:textId="7777777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3. </w:t>
      </w:r>
      <w:r w:rsidRPr="00A7310D">
        <w:rPr>
          <w:rFonts w:ascii="Calibri" w:hAnsi="Calibri" w:cs="Calibri"/>
          <w:noProof/>
        </w:rPr>
        <w:tab/>
        <w:t>NHS England. NHS Discharge Medicines Service- Toolkit for pharmacy staff in community , primary and secondary care [Internet]. 2021 [cited 2022 Apr 23]. Available from: https://www.england.nhs.uk/publication/nhs-discharge-medicines-service-essential-service-toolkit-for-pharmacy-staff-in-community-primary-and-secondary-care/</w:t>
      </w:r>
    </w:p>
    <w:p w14:paraId="641F0E81" w14:textId="714B2BEE"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4. </w:t>
      </w:r>
      <w:r w:rsidRPr="00A7310D">
        <w:rPr>
          <w:rFonts w:ascii="Calibri" w:hAnsi="Calibri" w:cs="Calibri"/>
          <w:noProof/>
        </w:rPr>
        <w:tab/>
        <w:t xml:space="preserve">Hindricks G, Potpara T, Dagres N, Arbelo E, Bax JJ, Blomström-Lundqvist C, et al. 2020 ESC Guidelines for the diagnosis and management of atrial fibrillation developed in collaboration with the European Association for Cardio-Thoracic Surgery (EACTS): The Task Force for the diagnosis and management of atrial fibrillation of the Europea. Eur Heart J. 2021;42:373–498. </w:t>
      </w:r>
    </w:p>
    <w:p w14:paraId="167C5351" w14:textId="7777777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5. </w:t>
      </w:r>
      <w:r w:rsidRPr="00A7310D">
        <w:rPr>
          <w:rFonts w:ascii="Calibri" w:hAnsi="Calibri" w:cs="Calibri"/>
          <w:noProof/>
        </w:rPr>
        <w:tab/>
        <w:t xml:space="preserve">Hippisley-Cox J, Coupland C, Brindle P. Development and validation of QRISK3 risk prediction algorithms to estimate future risk of cardiovascular disease: prospective cohort study. BMJ. 2017;357. </w:t>
      </w:r>
    </w:p>
    <w:p w14:paraId="3A9505D8" w14:textId="12F3E0B1"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6. </w:t>
      </w:r>
      <w:r w:rsidRPr="00A7310D">
        <w:rPr>
          <w:rFonts w:ascii="Calibri" w:hAnsi="Calibri" w:cs="Calibri"/>
          <w:noProof/>
        </w:rPr>
        <w:tab/>
        <w:t xml:space="preserve">Stevenson JM, Williams JL, Burnham TG, Prevost AT, Schiff R, Erskine SD, et al. Predicting adverse drug reactions in older adults; A systematic review of the risk prediction models. Clin Interv Aging. 2014;9:1581–93. </w:t>
      </w:r>
    </w:p>
    <w:p w14:paraId="020E0AE3" w14:textId="3AB04C2F"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7. </w:t>
      </w:r>
      <w:r w:rsidRPr="00A7310D">
        <w:rPr>
          <w:rFonts w:ascii="Calibri" w:hAnsi="Calibri" w:cs="Calibri"/>
          <w:noProof/>
        </w:rPr>
        <w:tab/>
        <w:t xml:space="preserve">Parekh N, Ali K, Davies JG, Stevenson JM, Banya W, Nyangoma S, et al. Medication-related harm in older adults following hospital discharge: Development and validation of a prediction tool. BMJ Qual Saf. 2020;29:142–53. </w:t>
      </w:r>
    </w:p>
    <w:p w14:paraId="6FC44AA7" w14:textId="5AA22FBF"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8. </w:t>
      </w:r>
      <w:r w:rsidRPr="00A7310D">
        <w:rPr>
          <w:rFonts w:ascii="Calibri" w:hAnsi="Calibri" w:cs="Calibri"/>
          <w:noProof/>
        </w:rPr>
        <w:tab/>
        <w:t xml:space="preserve">Parekh N, Stevenson JM, Schiff R, Graham Davies J, Bremner S, Van der Cammen T, et al. Can doctors identify older patients at risk of medication harm following hospital discharge? A multicentre prospective study in the UK. Br J Clin Pharmacol. 2018;84:2344–51. </w:t>
      </w:r>
    </w:p>
    <w:p w14:paraId="5870DE9B" w14:textId="26ADF29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9. </w:t>
      </w:r>
      <w:r w:rsidRPr="00A7310D">
        <w:rPr>
          <w:rFonts w:ascii="Calibri" w:hAnsi="Calibri" w:cs="Calibri"/>
          <w:noProof/>
        </w:rPr>
        <w:tab/>
        <w:t xml:space="preserve">Kok MO, Gyapong JO, Wolffers I, Ofori-Adjei D, Ruitenberg J. Which health research gets used and why? An empirical analysis of 30 cases. Heal Res Policy Syst. 2016;14:36. </w:t>
      </w:r>
    </w:p>
    <w:p w14:paraId="7D18CD7A" w14:textId="16190C42"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10. </w:t>
      </w:r>
      <w:r w:rsidRPr="00A7310D">
        <w:rPr>
          <w:rFonts w:ascii="Calibri" w:hAnsi="Calibri" w:cs="Calibri"/>
          <w:noProof/>
        </w:rPr>
        <w:tab/>
        <w:t xml:space="preserve">Ritchie J, Spencer L, O’Connor W. Carrying out qualitative analysis. Qual Res Pract A Guid Soc Sci students Res. 2003:219–62. </w:t>
      </w:r>
    </w:p>
    <w:p w14:paraId="3B8FB41C" w14:textId="7777777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11. </w:t>
      </w:r>
      <w:r w:rsidRPr="00A7310D">
        <w:rPr>
          <w:rFonts w:ascii="Calibri" w:hAnsi="Calibri" w:cs="Calibri"/>
          <w:noProof/>
        </w:rPr>
        <w:tab/>
        <w:t xml:space="preserve">Green J, Thorogood N. Qualitative methods for health research. SAGE Publications Ltd; 2018. </w:t>
      </w:r>
    </w:p>
    <w:p w14:paraId="12FD7A81" w14:textId="7777777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12. </w:t>
      </w:r>
      <w:r w:rsidRPr="00A7310D">
        <w:rPr>
          <w:rFonts w:ascii="Calibri" w:hAnsi="Calibri" w:cs="Calibri"/>
          <w:noProof/>
        </w:rPr>
        <w:tab/>
        <w:t xml:space="preserve">Ritchie J, Lewis J, Nicholls CM, Ormston R. Qualitative research practice: A guide for social science students and researchers. SAGE Publications Ltd; 2013. </w:t>
      </w:r>
    </w:p>
    <w:p w14:paraId="215162A9" w14:textId="69F78DA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13. </w:t>
      </w:r>
      <w:r w:rsidRPr="00A7310D">
        <w:rPr>
          <w:rFonts w:ascii="Calibri" w:hAnsi="Calibri" w:cs="Calibri"/>
          <w:noProof/>
        </w:rPr>
        <w:tab/>
        <w:t xml:space="preserve">Gale NK, Heath G, Cameron E, Rashid S, Redwood S. Using the framework method for </w:t>
      </w:r>
      <w:r w:rsidRPr="00A7310D">
        <w:rPr>
          <w:rFonts w:ascii="Calibri" w:hAnsi="Calibri" w:cs="Calibri"/>
          <w:noProof/>
        </w:rPr>
        <w:lastRenderedPageBreak/>
        <w:t xml:space="preserve">the analysis of qualitative data in multi-disciplinary health research. BMC Med Res Methodol. 2013;13:117. </w:t>
      </w:r>
    </w:p>
    <w:p w14:paraId="4A429EEC" w14:textId="7777777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14. </w:t>
      </w:r>
      <w:r w:rsidRPr="00A7310D">
        <w:rPr>
          <w:rFonts w:ascii="Calibri" w:hAnsi="Calibri" w:cs="Calibri"/>
          <w:noProof/>
        </w:rPr>
        <w:tab/>
        <w:t xml:space="preserve">Park HY, Seo SA, Yoo H, Lee K. Medication adherence and beliefs about medication in elderly patients living alone with chronic diseases. Patient Prefer Adherence. 2018;12:175–81. </w:t>
      </w:r>
    </w:p>
    <w:p w14:paraId="78D7A00B" w14:textId="025C4A6C"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15. </w:t>
      </w:r>
      <w:r w:rsidRPr="00A7310D">
        <w:rPr>
          <w:rFonts w:ascii="Calibri" w:hAnsi="Calibri" w:cs="Calibri"/>
          <w:noProof/>
        </w:rPr>
        <w:tab/>
        <w:t xml:space="preserve">McElnay JC, McCallion CR, Al-Deagi F, Scott MG. Development of a risk model for adverse drug events in the elderly. Clin Drug Investig. 1997;13:47–55. </w:t>
      </w:r>
    </w:p>
    <w:p w14:paraId="0323BDCF" w14:textId="501E3E13"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16. </w:t>
      </w:r>
      <w:r w:rsidRPr="00A7310D">
        <w:rPr>
          <w:rFonts w:ascii="Calibri" w:hAnsi="Calibri" w:cs="Calibri"/>
          <w:noProof/>
        </w:rPr>
        <w:tab/>
        <w:t xml:space="preserve">Trivalle C, Burlaud A, Ducimetière P, Group I. Risk factors for adverse drug events in hospitalized elderly patients: a geriatric score. Eur Geriatr Med. 2011;2:284–9. </w:t>
      </w:r>
    </w:p>
    <w:p w14:paraId="0D3572C3" w14:textId="6979FB25"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17. </w:t>
      </w:r>
      <w:r w:rsidRPr="00A7310D">
        <w:rPr>
          <w:rFonts w:ascii="Calibri" w:hAnsi="Calibri" w:cs="Calibri"/>
          <w:noProof/>
        </w:rPr>
        <w:tab/>
        <w:t xml:space="preserve">Onder G, Petrovic M, Tangiisuran B, Meinardi MC, Markito-Notenboom WP, Somers A, et al. Development and validation of a score to assess risk of adverse drug reactions among in-hospital patients 65 years or older: the GerontoNet ADR risk score. Arch Intern Med. 2010;170:1142–8. </w:t>
      </w:r>
    </w:p>
    <w:p w14:paraId="56805E09" w14:textId="150AEF9C"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18. </w:t>
      </w:r>
      <w:r w:rsidRPr="00A7310D">
        <w:rPr>
          <w:rFonts w:ascii="Calibri" w:hAnsi="Calibri" w:cs="Calibri"/>
          <w:noProof/>
        </w:rPr>
        <w:tab/>
        <w:t xml:space="preserve">Tangiisuran B, Scutt G, Stevenson J, Wright J, Onder G, Petrovic M, et al. Development and validation of a risk model for predicting adverse drug reactions in older people during hospital stay: Brighton Adverse Drug Reactions Risk (BADRI) model. PLoS One. 2014;9:e111254. </w:t>
      </w:r>
    </w:p>
    <w:p w14:paraId="15A45CC6" w14:textId="7777777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19. </w:t>
      </w:r>
      <w:r w:rsidRPr="00A7310D">
        <w:rPr>
          <w:rFonts w:ascii="Calibri" w:hAnsi="Calibri" w:cs="Calibri"/>
          <w:noProof/>
        </w:rPr>
        <w:tab/>
        <w:t>Pharmaceutical Services Negotiating Committee. Discharge Medicines Service [Internet]. PSNC. 2022 [cited 2022 Apr 9]. p. 1. Available from: https://psnc.org.uk/services-commissioning/essential-services/discharge-medicines-service/</w:t>
      </w:r>
    </w:p>
    <w:p w14:paraId="5D87D67E" w14:textId="3D49ED6C"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20. </w:t>
      </w:r>
      <w:r w:rsidRPr="00A7310D">
        <w:rPr>
          <w:rFonts w:ascii="Calibri" w:hAnsi="Calibri" w:cs="Calibri"/>
          <w:noProof/>
        </w:rPr>
        <w:tab/>
        <w:t xml:space="preserve">Moons KGM, Altman DG, Vergouwe Y, Royston P. Prognosis and prognostic research: Application and impact of prognostic models in clinical practice. BMJ. 2009;338:1487–90. </w:t>
      </w:r>
    </w:p>
    <w:p w14:paraId="3F3C9350" w14:textId="77777777"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21. </w:t>
      </w:r>
      <w:r w:rsidRPr="00A7310D">
        <w:rPr>
          <w:rFonts w:ascii="Calibri" w:hAnsi="Calibri" w:cs="Calibri"/>
          <w:noProof/>
        </w:rPr>
        <w:tab/>
        <w:t>NHS Education For Scotland. Efficacy (NNT) [Internet]. 2021 [cited 2022 Apr 23]. Available from: https://managemeds.scot.nhs.uk/for-healthcare-professionals/efficacy-nnt/</w:t>
      </w:r>
    </w:p>
    <w:p w14:paraId="11EC415A" w14:textId="2393822F"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22. </w:t>
      </w:r>
      <w:r w:rsidRPr="00A7310D">
        <w:rPr>
          <w:rFonts w:ascii="Calibri" w:hAnsi="Calibri" w:cs="Calibri"/>
          <w:noProof/>
        </w:rPr>
        <w:tab/>
        <w:t xml:space="preserve">O’mahony D, O’sullivan D, Byrne S, O’connor MN, Ryan C, Gallagher P. STOPP/START criteria for potentially inappropriate prescribing in older people: Version 2. Age Ageing. 2015;44:213–8. </w:t>
      </w:r>
    </w:p>
    <w:p w14:paraId="2F93D2A4" w14:textId="360AC18F" w:rsidR="00A7310D" w:rsidRPr="00A7310D" w:rsidRDefault="00A7310D" w:rsidP="00A7310D">
      <w:pPr>
        <w:widowControl w:val="0"/>
        <w:autoSpaceDE w:val="0"/>
        <w:autoSpaceDN w:val="0"/>
        <w:adjustRightInd w:val="0"/>
        <w:spacing w:after="160"/>
        <w:ind w:left="640" w:hanging="640"/>
        <w:rPr>
          <w:rFonts w:ascii="Calibri" w:hAnsi="Calibri" w:cs="Calibri"/>
          <w:noProof/>
        </w:rPr>
      </w:pPr>
      <w:r w:rsidRPr="00A7310D">
        <w:rPr>
          <w:rFonts w:ascii="Calibri" w:hAnsi="Calibri" w:cs="Calibri"/>
          <w:noProof/>
        </w:rPr>
        <w:t xml:space="preserve">23. </w:t>
      </w:r>
      <w:r w:rsidRPr="00A7310D">
        <w:rPr>
          <w:rFonts w:ascii="Calibri" w:hAnsi="Calibri" w:cs="Calibri"/>
          <w:noProof/>
        </w:rPr>
        <w:tab/>
        <w:t xml:space="preserve">Kappen TH, van Klei WA, van Wolfswinkel L, Kalkman CJ, Vergouwe Y, Moons KGM. Evaluating the impact of prediction models: lessons learned, challenges, and recommendations. Diagnostic Progn Res. 2018;2:1–11. </w:t>
      </w:r>
    </w:p>
    <w:p w14:paraId="3D05BF49" w14:textId="5504B937" w:rsidR="00446237" w:rsidRDefault="00A023A2" w:rsidP="00A7310D">
      <w:pPr>
        <w:widowControl w:val="0"/>
        <w:autoSpaceDE w:val="0"/>
        <w:autoSpaceDN w:val="0"/>
        <w:adjustRightInd w:val="0"/>
        <w:spacing w:after="160"/>
        <w:ind w:left="640" w:hanging="640"/>
      </w:pPr>
      <w:r>
        <w:fldChar w:fldCharType="end"/>
      </w:r>
    </w:p>
    <w:p w14:paraId="2426E9C0" w14:textId="77777777" w:rsidR="00446237" w:rsidRDefault="00446237" w:rsidP="006D0773">
      <w:pPr>
        <w:widowControl w:val="0"/>
        <w:autoSpaceDE w:val="0"/>
        <w:autoSpaceDN w:val="0"/>
        <w:adjustRightInd w:val="0"/>
        <w:spacing w:after="160"/>
        <w:ind w:left="640" w:hanging="640"/>
      </w:pPr>
    </w:p>
    <w:p w14:paraId="16F30E9F" w14:textId="77777777" w:rsidR="00446237" w:rsidRDefault="00446237" w:rsidP="006D0773">
      <w:pPr>
        <w:widowControl w:val="0"/>
        <w:autoSpaceDE w:val="0"/>
        <w:autoSpaceDN w:val="0"/>
        <w:adjustRightInd w:val="0"/>
        <w:spacing w:after="160"/>
        <w:ind w:left="640" w:hanging="640"/>
      </w:pPr>
    </w:p>
    <w:p w14:paraId="4D3A6BB1" w14:textId="1DD2BA94" w:rsidR="00446237" w:rsidRDefault="00446237" w:rsidP="006D0773">
      <w:pPr>
        <w:widowControl w:val="0"/>
        <w:autoSpaceDE w:val="0"/>
        <w:autoSpaceDN w:val="0"/>
        <w:adjustRightInd w:val="0"/>
        <w:spacing w:after="160"/>
        <w:ind w:left="640" w:hanging="640"/>
      </w:pPr>
    </w:p>
    <w:p w14:paraId="384C8E84" w14:textId="77777777" w:rsidR="0089576C" w:rsidRDefault="0089576C" w:rsidP="006D0773">
      <w:pPr>
        <w:widowControl w:val="0"/>
        <w:autoSpaceDE w:val="0"/>
        <w:autoSpaceDN w:val="0"/>
        <w:adjustRightInd w:val="0"/>
        <w:spacing w:after="160"/>
        <w:ind w:left="640" w:hanging="640"/>
      </w:pPr>
    </w:p>
    <w:p w14:paraId="5250C306" w14:textId="77777777" w:rsidR="00544A2F" w:rsidRDefault="00544A2F" w:rsidP="006D0773">
      <w:pPr>
        <w:widowControl w:val="0"/>
        <w:autoSpaceDE w:val="0"/>
        <w:autoSpaceDN w:val="0"/>
        <w:adjustRightInd w:val="0"/>
        <w:spacing w:after="160"/>
        <w:ind w:left="640" w:hanging="640"/>
      </w:pPr>
    </w:p>
    <w:p w14:paraId="6B63BFF0" w14:textId="04C69BB9" w:rsidR="00B17D61" w:rsidRPr="00B35BCD" w:rsidRDefault="00B17D61" w:rsidP="006D0773">
      <w:pPr>
        <w:widowControl w:val="0"/>
        <w:autoSpaceDE w:val="0"/>
        <w:autoSpaceDN w:val="0"/>
        <w:adjustRightInd w:val="0"/>
        <w:spacing w:after="160"/>
        <w:ind w:left="640" w:hanging="640"/>
      </w:pPr>
      <w:r w:rsidRPr="00B17D61">
        <w:rPr>
          <w:b/>
          <w:bCs/>
        </w:rPr>
        <w:lastRenderedPageBreak/>
        <w:t>Figures</w:t>
      </w:r>
    </w:p>
    <w:p w14:paraId="135C959A" w14:textId="41FBDC6E" w:rsidR="00B17D61" w:rsidRDefault="00B17D61" w:rsidP="00E2145D">
      <w:pPr>
        <w:widowControl w:val="0"/>
        <w:autoSpaceDE w:val="0"/>
        <w:autoSpaceDN w:val="0"/>
        <w:adjustRightInd w:val="0"/>
        <w:spacing w:after="160"/>
        <w:ind w:left="640" w:hanging="640"/>
      </w:pPr>
      <w:r>
        <w:t>Figure 1:</w:t>
      </w:r>
      <w:r w:rsidRPr="00B17D61">
        <w:t xml:space="preserve"> </w:t>
      </w:r>
      <w:r>
        <w:t>M</w:t>
      </w:r>
      <w:r w:rsidRPr="00B17D61">
        <w:t>odel equation and with an illustrative case example</w:t>
      </w:r>
      <w:r>
        <w:t>.</w:t>
      </w:r>
    </w:p>
    <w:p w14:paraId="74122162" w14:textId="35A66ED6" w:rsidR="009E6057" w:rsidRDefault="00A977A8" w:rsidP="00E2145D">
      <w:pPr>
        <w:widowControl w:val="0"/>
        <w:autoSpaceDE w:val="0"/>
        <w:autoSpaceDN w:val="0"/>
        <w:adjustRightInd w:val="0"/>
        <w:spacing w:after="160"/>
        <w:ind w:left="640" w:hanging="640"/>
      </w:pPr>
      <w:r w:rsidRPr="00A977A8">
        <w:rPr>
          <w:noProof/>
        </w:rPr>
        <w:drawing>
          <wp:inline distT="0" distB="0" distL="0" distR="0" wp14:anchorId="64B579C6" wp14:editId="04781139">
            <wp:extent cx="5727700" cy="5697855"/>
            <wp:effectExtent l="50800" t="50800" r="50800" b="5524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9"/>
                    <a:stretch>
                      <a:fillRect/>
                    </a:stretch>
                  </pic:blipFill>
                  <pic:spPr>
                    <a:xfrm>
                      <a:off x="0" y="0"/>
                      <a:ext cx="5727700" cy="5697855"/>
                    </a:xfrm>
                    <a:prstGeom prst="rect">
                      <a:avLst/>
                    </a:prstGeom>
                    <a:ln w="44450">
                      <a:solidFill>
                        <a:schemeClr val="tx1"/>
                      </a:solidFill>
                    </a:ln>
                  </pic:spPr>
                </pic:pic>
              </a:graphicData>
            </a:graphic>
          </wp:inline>
        </w:drawing>
      </w:r>
      <w:r w:rsidRPr="00A977A8" w:rsidDel="00A977A8">
        <w:t xml:space="preserve"> </w:t>
      </w:r>
    </w:p>
    <w:p w14:paraId="3F67BC8D" w14:textId="09B933BC" w:rsidR="00113020" w:rsidRDefault="00113020" w:rsidP="00981523">
      <w:pPr>
        <w:pStyle w:val="NoSpacing"/>
      </w:pPr>
    </w:p>
    <w:p w14:paraId="4A48E87B" w14:textId="77777777" w:rsidR="00446237" w:rsidRDefault="00446237" w:rsidP="00113020">
      <w:pPr>
        <w:widowControl w:val="0"/>
        <w:autoSpaceDE w:val="0"/>
        <w:autoSpaceDN w:val="0"/>
        <w:adjustRightInd w:val="0"/>
        <w:spacing w:after="160"/>
        <w:rPr>
          <w:b/>
          <w:bCs/>
        </w:rPr>
      </w:pPr>
    </w:p>
    <w:p w14:paraId="599D0BE0" w14:textId="77777777" w:rsidR="00446237" w:rsidRDefault="00446237" w:rsidP="00113020">
      <w:pPr>
        <w:widowControl w:val="0"/>
        <w:autoSpaceDE w:val="0"/>
        <w:autoSpaceDN w:val="0"/>
        <w:adjustRightInd w:val="0"/>
        <w:spacing w:after="160"/>
        <w:rPr>
          <w:b/>
          <w:bCs/>
        </w:rPr>
      </w:pPr>
    </w:p>
    <w:p w14:paraId="62E71EA4" w14:textId="77777777" w:rsidR="00446237" w:rsidRDefault="00446237" w:rsidP="00113020">
      <w:pPr>
        <w:widowControl w:val="0"/>
        <w:autoSpaceDE w:val="0"/>
        <w:autoSpaceDN w:val="0"/>
        <w:adjustRightInd w:val="0"/>
        <w:spacing w:after="160"/>
        <w:rPr>
          <w:b/>
          <w:bCs/>
        </w:rPr>
      </w:pPr>
    </w:p>
    <w:p w14:paraId="31A5345A" w14:textId="77777777" w:rsidR="00446237" w:rsidRDefault="00446237" w:rsidP="00113020">
      <w:pPr>
        <w:widowControl w:val="0"/>
        <w:autoSpaceDE w:val="0"/>
        <w:autoSpaceDN w:val="0"/>
        <w:adjustRightInd w:val="0"/>
        <w:spacing w:after="160"/>
        <w:rPr>
          <w:b/>
          <w:bCs/>
        </w:rPr>
      </w:pPr>
    </w:p>
    <w:p w14:paraId="1ABE6960" w14:textId="77777777" w:rsidR="00446237" w:rsidRDefault="00446237" w:rsidP="00113020">
      <w:pPr>
        <w:widowControl w:val="0"/>
        <w:autoSpaceDE w:val="0"/>
        <w:autoSpaceDN w:val="0"/>
        <w:adjustRightInd w:val="0"/>
        <w:spacing w:after="160"/>
        <w:rPr>
          <w:b/>
          <w:bCs/>
        </w:rPr>
      </w:pPr>
    </w:p>
    <w:p w14:paraId="64C76B85" w14:textId="77777777" w:rsidR="00446237" w:rsidRDefault="00446237" w:rsidP="00113020">
      <w:pPr>
        <w:widowControl w:val="0"/>
        <w:autoSpaceDE w:val="0"/>
        <w:autoSpaceDN w:val="0"/>
        <w:adjustRightInd w:val="0"/>
        <w:spacing w:after="160"/>
        <w:rPr>
          <w:b/>
          <w:bCs/>
        </w:rPr>
      </w:pPr>
    </w:p>
    <w:p w14:paraId="1BAE7C67" w14:textId="77777777" w:rsidR="00446237" w:rsidRDefault="00446237" w:rsidP="00113020">
      <w:pPr>
        <w:widowControl w:val="0"/>
        <w:autoSpaceDE w:val="0"/>
        <w:autoSpaceDN w:val="0"/>
        <w:adjustRightInd w:val="0"/>
        <w:spacing w:after="160"/>
        <w:rPr>
          <w:b/>
          <w:bCs/>
        </w:rPr>
      </w:pPr>
    </w:p>
    <w:p w14:paraId="421C69FA" w14:textId="48C07DFF" w:rsidR="006D066E" w:rsidRPr="00113020" w:rsidRDefault="00362EB5" w:rsidP="00113020">
      <w:pPr>
        <w:widowControl w:val="0"/>
        <w:autoSpaceDE w:val="0"/>
        <w:autoSpaceDN w:val="0"/>
        <w:adjustRightInd w:val="0"/>
        <w:spacing w:after="160"/>
        <w:rPr>
          <w:b/>
          <w:bCs/>
        </w:rPr>
      </w:pPr>
      <w:r w:rsidRPr="00362EB5">
        <w:rPr>
          <w:b/>
          <w:bCs/>
        </w:rPr>
        <w:lastRenderedPageBreak/>
        <w:t>Tables</w:t>
      </w:r>
    </w:p>
    <w:p w14:paraId="37AD3A46" w14:textId="0FE729F4" w:rsidR="0075641B" w:rsidRDefault="008F56CD" w:rsidP="007A5230">
      <w:r>
        <w:t xml:space="preserve">Table </w:t>
      </w:r>
      <w:r w:rsidR="00113020">
        <w:t>1</w:t>
      </w:r>
      <w:r>
        <w:t>: Themes identified in each of the ten interviews with study pharmacists</w:t>
      </w:r>
      <w:r w:rsidR="00064AC0">
        <w:t>.</w:t>
      </w:r>
    </w:p>
    <w:p w14:paraId="74A1424F" w14:textId="77777777" w:rsidR="007A5230" w:rsidRDefault="007A5230" w:rsidP="007A5230"/>
    <w:tbl>
      <w:tblPr>
        <w:tblStyle w:val="GridTable4-Accent51"/>
        <w:tblW w:w="0" w:type="auto"/>
        <w:tblLook w:val="04A0" w:firstRow="1" w:lastRow="0" w:firstColumn="1" w:lastColumn="0" w:noHBand="0" w:noVBand="1"/>
      </w:tblPr>
      <w:tblGrid>
        <w:gridCol w:w="3003"/>
        <w:gridCol w:w="610"/>
        <w:gridCol w:w="610"/>
        <w:gridCol w:w="610"/>
        <w:gridCol w:w="611"/>
        <w:gridCol w:w="611"/>
        <w:gridCol w:w="611"/>
        <w:gridCol w:w="611"/>
        <w:gridCol w:w="611"/>
        <w:gridCol w:w="611"/>
        <w:gridCol w:w="644"/>
      </w:tblGrid>
      <w:tr w:rsidR="002C130D" w14:paraId="3408774B" w14:textId="77777777" w:rsidTr="005A7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0" w:type="dxa"/>
          </w:tcPr>
          <w:p w14:paraId="21C07F38" w14:textId="23CC4D9D" w:rsidR="002C130D" w:rsidRPr="002C130D" w:rsidRDefault="002C130D" w:rsidP="00957B04">
            <w:pPr>
              <w:rPr>
                <w:b w:val="0"/>
                <w:bCs w:val="0"/>
              </w:rPr>
            </w:pPr>
          </w:p>
        </w:tc>
        <w:tc>
          <w:tcPr>
            <w:tcW w:w="6140" w:type="dxa"/>
            <w:gridSpan w:val="10"/>
          </w:tcPr>
          <w:p w14:paraId="4A2978B4" w14:textId="05A5CD2D" w:rsidR="002C130D" w:rsidRDefault="002C130D" w:rsidP="002C130D">
            <w:pPr>
              <w:jc w:val="center"/>
              <w:cnfStyle w:val="100000000000" w:firstRow="1" w:lastRow="0" w:firstColumn="0" w:lastColumn="0" w:oddVBand="0" w:evenVBand="0" w:oddHBand="0" w:evenHBand="0" w:firstRowFirstColumn="0" w:firstRowLastColumn="0" w:lastRowFirstColumn="0" w:lastRowLastColumn="0"/>
            </w:pPr>
            <w:r>
              <w:t>Interviews</w:t>
            </w:r>
          </w:p>
        </w:tc>
      </w:tr>
      <w:tr w:rsidR="00585981" w14:paraId="22EF0881" w14:textId="77777777" w:rsidTr="005A7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0" w:type="dxa"/>
          </w:tcPr>
          <w:p w14:paraId="6732E290" w14:textId="6FCA578C" w:rsidR="002C130D" w:rsidRPr="00AB53F8" w:rsidRDefault="00AB53F8" w:rsidP="00957B04">
            <w:r w:rsidRPr="00AB53F8">
              <w:t>Themes</w:t>
            </w:r>
          </w:p>
        </w:tc>
        <w:tc>
          <w:tcPr>
            <w:tcW w:w="610" w:type="dxa"/>
          </w:tcPr>
          <w:p w14:paraId="262A8BD3"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1</w:t>
            </w:r>
          </w:p>
        </w:tc>
        <w:tc>
          <w:tcPr>
            <w:tcW w:w="610" w:type="dxa"/>
          </w:tcPr>
          <w:p w14:paraId="4942EB81"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2</w:t>
            </w:r>
          </w:p>
        </w:tc>
        <w:tc>
          <w:tcPr>
            <w:tcW w:w="610" w:type="dxa"/>
          </w:tcPr>
          <w:p w14:paraId="27518324"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3</w:t>
            </w:r>
          </w:p>
        </w:tc>
        <w:tc>
          <w:tcPr>
            <w:tcW w:w="611" w:type="dxa"/>
          </w:tcPr>
          <w:p w14:paraId="7D20B64B"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4</w:t>
            </w:r>
          </w:p>
        </w:tc>
        <w:tc>
          <w:tcPr>
            <w:tcW w:w="611" w:type="dxa"/>
          </w:tcPr>
          <w:p w14:paraId="6AFE609E"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5</w:t>
            </w:r>
          </w:p>
        </w:tc>
        <w:tc>
          <w:tcPr>
            <w:tcW w:w="611" w:type="dxa"/>
          </w:tcPr>
          <w:p w14:paraId="3BCD7387"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6</w:t>
            </w:r>
          </w:p>
        </w:tc>
        <w:tc>
          <w:tcPr>
            <w:tcW w:w="611" w:type="dxa"/>
          </w:tcPr>
          <w:p w14:paraId="53D5CBB2"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7</w:t>
            </w:r>
          </w:p>
        </w:tc>
        <w:tc>
          <w:tcPr>
            <w:tcW w:w="611" w:type="dxa"/>
          </w:tcPr>
          <w:p w14:paraId="4BF45AB5"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8</w:t>
            </w:r>
          </w:p>
        </w:tc>
        <w:tc>
          <w:tcPr>
            <w:tcW w:w="611" w:type="dxa"/>
          </w:tcPr>
          <w:p w14:paraId="7848B2EF"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9</w:t>
            </w:r>
          </w:p>
        </w:tc>
        <w:tc>
          <w:tcPr>
            <w:tcW w:w="644" w:type="dxa"/>
          </w:tcPr>
          <w:p w14:paraId="18056B38"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r>
              <w:t>10</w:t>
            </w:r>
          </w:p>
        </w:tc>
      </w:tr>
      <w:tr w:rsidR="002C130D" w14:paraId="0636BE37" w14:textId="77777777" w:rsidTr="005A7D39">
        <w:tc>
          <w:tcPr>
            <w:cnfStyle w:val="001000000000" w:firstRow="0" w:lastRow="0" w:firstColumn="1" w:lastColumn="0" w:oddVBand="0" w:evenVBand="0" w:oddHBand="0" w:evenHBand="0" w:firstRowFirstColumn="0" w:firstRowLastColumn="0" w:lastRowFirstColumn="0" w:lastRowLastColumn="0"/>
            <w:tcW w:w="2870" w:type="dxa"/>
          </w:tcPr>
          <w:p w14:paraId="47260971" w14:textId="0248ABB1" w:rsidR="002C130D" w:rsidRPr="00AB53F8" w:rsidRDefault="002C130D" w:rsidP="002C130D">
            <w:pPr>
              <w:rPr>
                <w:b w:val="0"/>
                <w:bCs w:val="0"/>
              </w:rPr>
            </w:pPr>
            <w:r w:rsidRPr="003D6AB7">
              <w:rPr>
                <w:b w:val="0"/>
                <w:bCs w:val="0"/>
              </w:rPr>
              <w:t>Prioritisation aide</w:t>
            </w:r>
          </w:p>
        </w:tc>
        <w:tc>
          <w:tcPr>
            <w:tcW w:w="610" w:type="dxa"/>
          </w:tcPr>
          <w:p w14:paraId="1944FFF5" w14:textId="7A0E673D" w:rsidR="002C130D" w:rsidRDefault="00DE4FE6"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0" w:type="dxa"/>
          </w:tcPr>
          <w:p w14:paraId="071C0D8F" w14:textId="159B7A4F" w:rsidR="002C130D" w:rsidRDefault="00DE4FE6"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0" w:type="dxa"/>
          </w:tcPr>
          <w:p w14:paraId="5A40D93A" w14:textId="07334DB7" w:rsidR="002C130D" w:rsidRDefault="006534D5"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04DA5B58" w14:textId="08AFF8F3" w:rsidR="002C130D" w:rsidRDefault="00DE4FE6"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47EEE735" w14:textId="61EE4A5B" w:rsidR="002C130D" w:rsidRDefault="00DE4FE6"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3328A47C" w14:textId="0DA77B39" w:rsidR="002C130D" w:rsidRDefault="00DE4FE6"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393B06C8" w14:textId="6D2EFE57" w:rsidR="002C130D" w:rsidRDefault="00DE4FE6"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2880096A" w14:textId="5639222C" w:rsidR="002C130D" w:rsidRDefault="006534D5"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52F5EA6B" w14:textId="3EE03821" w:rsidR="002C130D" w:rsidRDefault="00DE4FE6"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44" w:type="dxa"/>
          </w:tcPr>
          <w:p w14:paraId="3F2EEC94" w14:textId="3AD632D0" w:rsidR="002C130D" w:rsidRDefault="00DE4FE6" w:rsidP="006405C4">
            <w:pPr>
              <w:jc w:val="center"/>
              <w:cnfStyle w:val="000000000000" w:firstRow="0" w:lastRow="0" w:firstColumn="0" w:lastColumn="0" w:oddVBand="0" w:evenVBand="0" w:oddHBand="0" w:evenHBand="0" w:firstRowFirstColumn="0" w:firstRowLastColumn="0" w:lastRowFirstColumn="0" w:lastRowLastColumn="0"/>
            </w:pPr>
            <w:r>
              <w:t>X</w:t>
            </w:r>
          </w:p>
        </w:tc>
      </w:tr>
      <w:tr w:rsidR="00585981" w14:paraId="5EFC2E76" w14:textId="77777777" w:rsidTr="005A7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0" w:type="dxa"/>
          </w:tcPr>
          <w:p w14:paraId="7D2BEC4A" w14:textId="7A6BCA97" w:rsidR="002C130D" w:rsidRPr="00AB53F8" w:rsidRDefault="007C08F3" w:rsidP="002C130D">
            <w:pPr>
              <w:rPr>
                <w:b w:val="0"/>
                <w:bCs w:val="0"/>
              </w:rPr>
            </w:pPr>
            <w:r>
              <w:rPr>
                <w:b w:val="0"/>
                <w:bCs w:val="0"/>
              </w:rPr>
              <w:t>Medical deprescribing alerts</w:t>
            </w:r>
          </w:p>
        </w:tc>
        <w:tc>
          <w:tcPr>
            <w:tcW w:w="610" w:type="dxa"/>
          </w:tcPr>
          <w:p w14:paraId="1914C873" w14:textId="3B2FDC10"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0" w:type="dxa"/>
          </w:tcPr>
          <w:p w14:paraId="4D5A971A" w14:textId="2409A2DA"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0" w:type="dxa"/>
          </w:tcPr>
          <w:p w14:paraId="2763AA8C" w14:textId="2B1790CB" w:rsidR="002C130D" w:rsidRDefault="000927ED"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35927821" w14:textId="7FE7ABD0"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4F175777" w14:textId="1299C017"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4D834307" w14:textId="342AE09A"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3FAF325E" w14:textId="0861B5DA"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3F2C1D49" w14:textId="796C5576"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1A6C4AE5" w14:textId="408002F5"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44" w:type="dxa"/>
          </w:tcPr>
          <w:p w14:paraId="4781F0B5" w14:textId="7A3F8103" w:rsidR="002C130D" w:rsidRDefault="00A8047A" w:rsidP="006405C4">
            <w:pPr>
              <w:jc w:val="center"/>
              <w:cnfStyle w:val="000000100000" w:firstRow="0" w:lastRow="0" w:firstColumn="0" w:lastColumn="0" w:oddVBand="0" w:evenVBand="0" w:oddHBand="1" w:evenHBand="0" w:firstRowFirstColumn="0" w:firstRowLastColumn="0" w:lastRowFirstColumn="0" w:lastRowLastColumn="0"/>
            </w:pPr>
            <w:r>
              <w:t>X</w:t>
            </w:r>
          </w:p>
        </w:tc>
      </w:tr>
      <w:tr w:rsidR="002C130D" w14:paraId="4627FD00" w14:textId="77777777" w:rsidTr="005A7D39">
        <w:tc>
          <w:tcPr>
            <w:cnfStyle w:val="001000000000" w:firstRow="0" w:lastRow="0" w:firstColumn="1" w:lastColumn="0" w:oddVBand="0" w:evenVBand="0" w:oddHBand="0" w:evenHBand="0" w:firstRowFirstColumn="0" w:firstRowLastColumn="0" w:lastRowFirstColumn="0" w:lastRowLastColumn="0"/>
            <w:tcW w:w="2870" w:type="dxa"/>
          </w:tcPr>
          <w:p w14:paraId="0B8F557D" w14:textId="70E3B5CC" w:rsidR="002C130D" w:rsidRPr="0075641B" w:rsidRDefault="0075641B" w:rsidP="0075641B">
            <w:pPr>
              <w:rPr>
                <w:b w:val="0"/>
                <w:bCs w:val="0"/>
                <w:color w:val="000000" w:themeColor="text1"/>
              </w:rPr>
            </w:pPr>
            <w:r w:rsidRPr="0075641B">
              <w:rPr>
                <w:b w:val="0"/>
                <w:bCs w:val="0"/>
                <w:color w:val="000000" w:themeColor="text1"/>
              </w:rPr>
              <w:t>Biopsychosocial model of medication management</w:t>
            </w:r>
          </w:p>
        </w:tc>
        <w:tc>
          <w:tcPr>
            <w:tcW w:w="610" w:type="dxa"/>
          </w:tcPr>
          <w:p w14:paraId="14CF501D" w14:textId="1FD408B1" w:rsidR="002C130D" w:rsidRDefault="002C130D" w:rsidP="006405C4">
            <w:pPr>
              <w:jc w:val="center"/>
              <w:cnfStyle w:val="000000000000" w:firstRow="0" w:lastRow="0" w:firstColumn="0" w:lastColumn="0" w:oddVBand="0" w:evenVBand="0" w:oddHBand="0" w:evenHBand="0" w:firstRowFirstColumn="0" w:firstRowLastColumn="0" w:lastRowFirstColumn="0" w:lastRowLastColumn="0"/>
            </w:pPr>
          </w:p>
        </w:tc>
        <w:tc>
          <w:tcPr>
            <w:tcW w:w="610" w:type="dxa"/>
          </w:tcPr>
          <w:p w14:paraId="704128BF" w14:textId="4F81C9BB" w:rsidR="002C130D" w:rsidRDefault="00460653"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0" w:type="dxa"/>
          </w:tcPr>
          <w:p w14:paraId="0EC51AC8" w14:textId="4124EBAB" w:rsidR="002C130D" w:rsidRDefault="00460653"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3AA113A5" w14:textId="4071C5B4" w:rsidR="002C130D" w:rsidRDefault="00460653"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507B6221" w14:textId="67BA6846" w:rsidR="002C130D" w:rsidRDefault="00460653"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287066E1" w14:textId="753F361E" w:rsidR="002C130D" w:rsidRDefault="00460653"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7B2785E0" w14:textId="25D1516D" w:rsidR="002C130D" w:rsidRDefault="002C130D" w:rsidP="006405C4">
            <w:pPr>
              <w:jc w:val="center"/>
              <w:cnfStyle w:val="000000000000" w:firstRow="0" w:lastRow="0" w:firstColumn="0" w:lastColumn="0" w:oddVBand="0" w:evenVBand="0" w:oddHBand="0" w:evenHBand="0" w:firstRowFirstColumn="0" w:firstRowLastColumn="0" w:lastRowFirstColumn="0" w:lastRowLastColumn="0"/>
            </w:pPr>
          </w:p>
        </w:tc>
        <w:tc>
          <w:tcPr>
            <w:tcW w:w="611" w:type="dxa"/>
          </w:tcPr>
          <w:p w14:paraId="3647CECC" w14:textId="150C244C" w:rsidR="002C130D" w:rsidRDefault="00460653"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7BD53BA7" w14:textId="075D6AA8" w:rsidR="002C130D" w:rsidRDefault="002C130D" w:rsidP="006405C4">
            <w:pPr>
              <w:jc w:val="center"/>
              <w:cnfStyle w:val="000000000000" w:firstRow="0" w:lastRow="0" w:firstColumn="0" w:lastColumn="0" w:oddVBand="0" w:evenVBand="0" w:oddHBand="0" w:evenHBand="0" w:firstRowFirstColumn="0" w:firstRowLastColumn="0" w:lastRowFirstColumn="0" w:lastRowLastColumn="0"/>
            </w:pPr>
          </w:p>
        </w:tc>
        <w:tc>
          <w:tcPr>
            <w:tcW w:w="644" w:type="dxa"/>
          </w:tcPr>
          <w:p w14:paraId="3E5E63D0" w14:textId="0DD933C8" w:rsidR="002C130D" w:rsidRDefault="00460653" w:rsidP="006405C4">
            <w:pPr>
              <w:jc w:val="center"/>
              <w:cnfStyle w:val="000000000000" w:firstRow="0" w:lastRow="0" w:firstColumn="0" w:lastColumn="0" w:oddVBand="0" w:evenVBand="0" w:oddHBand="0" w:evenHBand="0" w:firstRowFirstColumn="0" w:firstRowLastColumn="0" w:lastRowFirstColumn="0" w:lastRowLastColumn="0"/>
            </w:pPr>
            <w:r>
              <w:t>X</w:t>
            </w:r>
          </w:p>
        </w:tc>
      </w:tr>
      <w:tr w:rsidR="00585981" w14:paraId="31E3A3A7" w14:textId="77777777" w:rsidTr="005A7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0" w:type="dxa"/>
          </w:tcPr>
          <w:p w14:paraId="0721CC0F" w14:textId="3D960958" w:rsidR="002C130D" w:rsidRPr="00AB53F8" w:rsidRDefault="002C130D" w:rsidP="002C130D">
            <w:pPr>
              <w:rPr>
                <w:b w:val="0"/>
                <w:bCs w:val="0"/>
              </w:rPr>
            </w:pPr>
            <w:r w:rsidRPr="00AB53F8">
              <w:rPr>
                <w:b w:val="0"/>
                <w:bCs w:val="0"/>
              </w:rPr>
              <w:t>Communication/presentation of risk to patients, hospital staff and community teams</w:t>
            </w:r>
          </w:p>
        </w:tc>
        <w:tc>
          <w:tcPr>
            <w:tcW w:w="610" w:type="dxa"/>
          </w:tcPr>
          <w:p w14:paraId="369E13DF" w14:textId="3BB4EB9B" w:rsidR="002C130D" w:rsidRDefault="003470B9"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0" w:type="dxa"/>
          </w:tcPr>
          <w:p w14:paraId="696D233B" w14:textId="26BF5F5E" w:rsidR="002C130D" w:rsidRDefault="003470B9"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0" w:type="dxa"/>
          </w:tcPr>
          <w:p w14:paraId="1AED8ABE" w14:textId="16BA6C9F" w:rsidR="002C130D" w:rsidRDefault="003470B9"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25F05B9D"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p>
        </w:tc>
        <w:tc>
          <w:tcPr>
            <w:tcW w:w="611" w:type="dxa"/>
          </w:tcPr>
          <w:p w14:paraId="10F75F8B" w14:textId="08E5D094" w:rsidR="002C130D" w:rsidRDefault="003470B9"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7D19123D" w14:textId="737F75CF" w:rsidR="002C130D" w:rsidRDefault="003470B9"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45DD9796"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p>
        </w:tc>
        <w:tc>
          <w:tcPr>
            <w:tcW w:w="611" w:type="dxa"/>
          </w:tcPr>
          <w:p w14:paraId="610D1ED8"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p>
        </w:tc>
        <w:tc>
          <w:tcPr>
            <w:tcW w:w="611" w:type="dxa"/>
          </w:tcPr>
          <w:p w14:paraId="4F653E00" w14:textId="7BD7814E" w:rsidR="002C130D" w:rsidRDefault="003470B9"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44" w:type="dxa"/>
          </w:tcPr>
          <w:p w14:paraId="7A0877AA" w14:textId="158877F6" w:rsidR="002C130D" w:rsidRDefault="003470B9" w:rsidP="006405C4">
            <w:pPr>
              <w:jc w:val="center"/>
              <w:cnfStyle w:val="000000100000" w:firstRow="0" w:lastRow="0" w:firstColumn="0" w:lastColumn="0" w:oddVBand="0" w:evenVBand="0" w:oddHBand="1" w:evenHBand="0" w:firstRowFirstColumn="0" w:firstRowLastColumn="0" w:lastRowFirstColumn="0" w:lastRowLastColumn="0"/>
            </w:pPr>
            <w:r>
              <w:t>X</w:t>
            </w:r>
          </w:p>
        </w:tc>
      </w:tr>
      <w:tr w:rsidR="002C130D" w14:paraId="36123FA1" w14:textId="77777777" w:rsidTr="005A7D39">
        <w:tc>
          <w:tcPr>
            <w:cnfStyle w:val="001000000000" w:firstRow="0" w:lastRow="0" w:firstColumn="1" w:lastColumn="0" w:oddVBand="0" w:evenVBand="0" w:oddHBand="0" w:evenHBand="0" w:firstRowFirstColumn="0" w:firstRowLastColumn="0" w:lastRowFirstColumn="0" w:lastRowLastColumn="0"/>
            <w:tcW w:w="2870" w:type="dxa"/>
          </w:tcPr>
          <w:p w14:paraId="050A10EB" w14:textId="2BBF9BA8" w:rsidR="002C130D" w:rsidRPr="0075641B" w:rsidRDefault="0075641B" w:rsidP="0075641B">
            <w:pPr>
              <w:rPr>
                <w:b w:val="0"/>
                <w:bCs w:val="0"/>
              </w:rPr>
            </w:pPr>
            <w:r w:rsidRPr="0075641B">
              <w:rPr>
                <w:b w:val="0"/>
                <w:bCs w:val="0"/>
              </w:rPr>
              <w:t>Streamlining community follow-up and integrating MRH risk discussion into clinical practice</w:t>
            </w:r>
          </w:p>
        </w:tc>
        <w:tc>
          <w:tcPr>
            <w:tcW w:w="610" w:type="dxa"/>
          </w:tcPr>
          <w:p w14:paraId="6E37B347" w14:textId="4C4699C0" w:rsidR="002C130D" w:rsidRDefault="002C130D" w:rsidP="006405C4">
            <w:pPr>
              <w:jc w:val="center"/>
              <w:cnfStyle w:val="000000000000" w:firstRow="0" w:lastRow="0" w:firstColumn="0" w:lastColumn="0" w:oddVBand="0" w:evenVBand="0" w:oddHBand="0" w:evenHBand="0" w:firstRowFirstColumn="0" w:firstRowLastColumn="0" w:lastRowFirstColumn="0" w:lastRowLastColumn="0"/>
            </w:pPr>
          </w:p>
        </w:tc>
        <w:tc>
          <w:tcPr>
            <w:tcW w:w="610" w:type="dxa"/>
          </w:tcPr>
          <w:p w14:paraId="69E59590" w14:textId="52B8C457"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0" w:type="dxa"/>
          </w:tcPr>
          <w:p w14:paraId="27A7AF5F" w14:textId="15512589"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66FFA53A" w14:textId="6CF204B6" w:rsidR="002C130D" w:rsidRDefault="00FD262F"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78729A7A" w14:textId="6519A9C5"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5F9D368D" w14:textId="2492E2D4"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2D429F5B" w14:textId="3214A6F3"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6FE8419E" w14:textId="5D557A23"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3C2A4941" w14:textId="333B83F5"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44" w:type="dxa"/>
          </w:tcPr>
          <w:p w14:paraId="3D490A05" w14:textId="0D420F6B"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r>
      <w:tr w:rsidR="00585981" w14:paraId="20995912" w14:textId="77777777" w:rsidTr="005A7D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0" w:type="dxa"/>
          </w:tcPr>
          <w:p w14:paraId="751FC6D9" w14:textId="79289C59" w:rsidR="002C130D" w:rsidRPr="00AB53F8" w:rsidRDefault="002C130D" w:rsidP="002C130D">
            <w:pPr>
              <w:rPr>
                <w:b w:val="0"/>
                <w:bCs w:val="0"/>
              </w:rPr>
            </w:pPr>
            <w:r w:rsidRPr="00AB53F8">
              <w:rPr>
                <w:b w:val="0"/>
                <w:bCs w:val="0"/>
              </w:rPr>
              <w:t>Barriers towards clinical integration</w:t>
            </w:r>
          </w:p>
        </w:tc>
        <w:tc>
          <w:tcPr>
            <w:tcW w:w="610" w:type="dxa"/>
          </w:tcPr>
          <w:p w14:paraId="5F1C57FC" w14:textId="3A56454D" w:rsidR="002C130D" w:rsidRDefault="00771720"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0" w:type="dxa"/>
          </w:tcPr>
          <w:p w14:paraId="5D6840C7" w14:textId="1AAD751D" w:rsidR="002C130D" w:rsidRDefault="00771720"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0" w:type="dxa"/>
          </w:tcPr>
          <w:p w14:paraId="0389F128" w14:textId="0E183A43"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p>
        </w:tc>
        <w:tc>
          <w:tcPr>
            <w:tcW w:w="611" w:type="dxa"/>
          </w:tcPr>
          <w:p w14:paraId="5DF53D5B"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p>
        </w:tc>
        <w:tc>
          <w:tcPr>
            <w:tcW w:w="611" w:type="dxa"/>
          </w:tcPr>
          <w:p w14:paraId="243FC43F" w14:textId="0B72A0B8" w:rsidR="002C130D" w:rsidRDefault="00771720"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3D5865DA" w14:textId="77777777"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p>
        </w:tc>
        <w:tc>
          <w:tcPr>
            <w:tcW w:w="611" w:type="dxa"/>
          </w:tcPr>
          <w:p w14:paraId="0348222F" w14:textId="478C7BC0" w:rsidR="002C130D" w:rsidRDefault="00771720"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11" w:type="dxa"/>
          </w:tcPr>
          <w:p w14:paraId="01540B38" w14:textId="3B42C840" w:rsidR="002C130D" w:rsidRDefault="002C130D" w:rsidP="006405C4">
            <w:pPr>
              <w:jc w:val="center"/>
              <w:cnfStyle w:val="000000100000" w:firstRow="0" w:lastRow="0" w:firstColumn="0" w:lastColumn="0" w:oddVBand="0" w:evenVBand="0" w:oddHBand="1" w:evenHBand="0" w:firstRowFirstColumn="0" w:firstRowLastColumn="0" w:lastRowFirstColumn="0" w:lastRowLastColumn="0"/>
            </w:pPr>
          </w:p>
        </w:tc>
        <w:tc>
          <w:tcPr>
            <w:tcW w:w="611" w:type="dxa"/>
          </w:tcPr>
          <w:p w14:paraId="103F01EC" w14:textId="06381EE6" w:rsidR="002C130D" w:rsidRDefault="00771720" w:rsidP="006405C4">
            <w:pPr>
              <w:jc w:val="center"/>
              <w:cnfStyle w:val="000000100000" w:firstRow="0" w:lastRow="0" w:firstColumn="0" w:lastColumn="0" w:oddVBand="0" w:evenVBand="0" w:oddHBand="1" w:evenHBand="0" w:firstRowFirstColumn="0" w:firstRowLastColumn="0" w:lastRowFirstColumn="0" w:lastRowLastColumn="0"/>
            </w:pPr>
            <w:r>
              <w:t>X</w:t>
            </w:r>
          </w:p>
        </w:tc>
        <w:tc>
          <w:tcPr>
            <w:tcW w:w="644" w:type="dxa"/>
          </w:tcPr>
          <w:p w14:paraId="5C39630A" w14:textId="73744479" w:rsidR="002C130D" w:rsidRDefault="00771720" w:rsidP="006405C4">
            <w:pPr>
              <w:jc w:val="center"/>
              <w:cnfStyle w:val="000000100000" w:firstRow="0" w:lastRow="0" w:firstColumn="0" w:lastColumn="0" w:oddVBand="0" w:evenVBand="0" w:oddHBand="1" w:evenHBand="0" w:firstRowFirstColumn="0" w:firstRowLastColumn="0" w:lastRowFirstColumn="0" w:lastRowLastColumn="0"/>
            </w:pPr>
            <w:r>
              <w:t>X</w:t>
            </w:r>
          </w:p>
        </w:tc>
      </w:tr>
      <w:tr w:rsidR="002C130D" w14:paraId="6AEA2F4C" w14:textId="77777777" w:rsidTr="005A7D39">
        <w:tc>
          <w:tcPr>
            <w:cnfStyle w:val="001000000000" w:firstRow="0" w:lastRow="0" w:firstColumn="1" w:lastColumn="0" w:oddVBand="0" w:evenVBand="0" w:oddHBand="0" w:evenHBand="0" w:firstRowFirstColumn="0" w:firstRowLastColumn="0" w:lastRowFirstColumn="0" w:lastRowLastColumn="0"/>
            <w:tcW w:w="2870" w:type="dxa"/>
          </w:tcPr>
          <w:p w14:paraId="35FADCCF" w14:textId="28C03B08" w:rsidR="002C130D" w:rsidRPr="00AB53F8" w:rsidRDefault="002C130D" w:rsidP="00957B04">
            <w:pPr>
              <w:rPr>
                <w:b w:val="0"/>
                <w:bCs w:val="0"/>
              </w:rPr>
            </w:pPr>
            <w:r w:rsidRPr="00AB53F8">
              <w:rPr>
                <w:b w:val="0"/>
                <w:bCs w:val="0"/>
              </w:rPr>
              <w:t>Limitations of the risk predictions tool</w:t>
            </w:r>
          </w:p>
        </w:tc>
        <w:tc>
          <w:tcPr>
            <w:tcW w:w="610" w:type="dxa"/>
          </w:tcPr>
          <w:p w14:paraId="73F5BFCC" w14:textId="77777777" w:rsidR="002C130D" w:rsidRDefault="002C130D" w:rsidP="006405C4">
            <w:pPr>
              <w:jc w:val="center"/>
              <w:cnfStyle w:val="000000000000" w:firstRow="0" w:lastRow="0" w:firstColumn="0" w:lastColumn="0" w:oddVBand="0" w:evenVBand="0" w:oddHBand="0" w:evenHBand="0" w:firstRowFirstColumn="0" w:firstRowLastColumn="0" w:lastRowFirstColumn="0" w:lastRowLastColumn="0"/>
            </w:pPr>
          </w:p>
        </w:tc>
        <w:tc>
          <w:tcPr>
            <w:tcW w:w="610" w:type="dxa"/>
          </w:tcPr>
          <w:p w14:paraId="35CBE3B4" w14:textId="4E73B9FC"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0" w:type="dxa"/>
          </w:tcPr>
          <w:p w14:paraId="69EB4E20" w14:textId="48B2E545"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03210462" w14:textId="1212510D"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24B1E684" w14:textId="63BC100D"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57E5114C" w14:textId="40C0A2A2"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09D57C0F" w14:textId="392BE782"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5E05110E" w14:textId="645D4B14"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11" w:type="dxa"/>
          </w:tcPr>
          <w:p w14:paraId="036C3C7A" w14:textId="6A162AD6"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c>
          <w:tcPr>
            <w:tcW w:w="644" w:type="dxa"/>
          </w:tcPr>
          <w:p w14:paraId="6A58C77E" w14:textId="6F763525" w:rsidR="002C130D" w:rsidRDefault="00771720" w:rsidP="006405C4">
            <w:pPr>
              <w:jc w:val="center"/>
              <w:cnfStyle w:val="000000000000" w:firstRow="0" w:lastRow="0" w:firstColumn="0" w:lastColumn="0" w:oddVBand="0" w:evenVBand="0" w:oddHBand="0" w:evenHBand="0" w:firstRowFirstColumn="0" w:firstRowLastColumn="0" w:lastRowFirstColumn="0" w:lastRowLastColumn="0"/>
            </w:pPr>
            <w:r>
              <w:t>X</w:t>
            </w:r>
          </w:p>
        </w:tc>
      </w:tr>
    </w:tbl>
    <w:p w14:paraId="0AA0C465" w14:textId="77777777" w:rsidR="00B35BCD" w:rsidRDefault="00B35BCD" w:rsidP="00A8047A">
      <w:pPr>
        <w:widowControl w:val="0"/>
        <w:autoSpaceDE w:val="0"/>
        <w:autoSpaceDN w:val="0"/>
        <w:adjustRightInd w:val="0"/>
        <w:spacing w:after="160"/>
      </w:pPr>
    </w:p>
    <w:p w14:paraId="5230FBC6" w14:textId="77777777" w:rsidR="00630664" w:rsidRDefault="00630664" w:rsidP="00A8047A">
      <w:pPr>
        <w:widowControl w:val="0"/>
        <w:autoSpaceDE w:val="0"/>
        <w:autoSpaceDN w:val="0"/>
        <w:adjustRightInd w:val="0"/>
        <w:spacing w:after="160"/>
      </w:pPr>
    </w:p>
    <w:p w14:paraId="40161BA0" w14:textId="77777777" w:rsidR="00630664" w:rsidRDefault="00630664" w:rsidP="00A8047A">
      <w:pPr>
        <w:widowControl w:val="0"/>
        <w:autoSpaceDE w:val="0"/>
        <w:autoSpaceDN w:val="0"/>
        <w:adjustRightInd w:val="0"/>
        <w:spacing w:after="160"/>
      </w:pPr>
    </w:p>
    <w:p w14:paraId="38F7BAD7" w14:textId="77777777" w:rsidR="00630664" w:rsidRDefault="00630664" w:rsidP="00A8047A">
      <w:pPr>
        <w:widowControl w:val="0"/>
        <w:autoSpaceDE w:val="0"/>
        <w:autoSpaceDN w:val="0"/>
        <w:adjustRightInd w:val="0"/>
        <w:spacing w:after="160"/>
      </w:pPr>
    </w:p>
    <w:p w14:paraId="0F6232AB" w14:textId="77777777" w:rsidR="00630664" w:rsidRDefault="00630664" w:rsidP="00A8047A">
      <w:pPr>
        <w:widowControl w:val="0"/>
        <w:autoSpaceDE w:val="0"/>
        <w:autoSpaceDN w:val="0"/>
        <w:adjustRightInd w:val="0"/>
        <w:spacing w:after="160"/>
      </w:pPr>
    </w:p>
    <w:p w14:paraId="099BC5CD" w14:textId="77777777" w:rsidR="00630664" w:rsidRDefault="00630664" w:rsidP="00A8047A">
      <w:pPr>
        <w:widowControl w:val="0"/>
        <w:autoSpaceDE w:val="0"/>
        <w:autoSpaceDN w:val="0"/>
        <w:adjustRightInd w:val="0"/>
        <w:spacing w:after="160"/>
      </w:pPr>
    </w:p>
    <w:p w14:paraId="724A2B70" w14:textId="77777777" w:rsidR="00630664" w:rsidRDefault="00630664" w:rsidP="00A8047A">
      <w:pPr>
        <w:widowControl w:val="0"/>
        <w:autoSpaceDE w:val="0"/>
        <w:autoSpaceDN w:val="0"/>
        <w:adjustRightInd w:val="0"/>
        <w:spacing w:after="160"/>
      </w:pPr>
    </w:p>
    <w:p w14:paraId="73078F05" w14:textId="77777777" w:rsidR="00630664" w:rsidRDefault="00630664" w:rsidP="00A8047A">
      <w:pPr>
        <w:widowControl w:val="0"/>
        <w:autoSpaceDE w:val="0"/>
        <w:autoSpaceDN w:val="0"/>
        <w:adjustRightInd w:val="0"/>
        <w:spacing w:after="160"/>
      </w:pPr>
    </w:p>
    <w:p w14:paraId="0D095B6E" w14:textId="77777777" w:rsidR="00630664" w:rsidRDefault="00630664" w:rsidP="00A8047A">
      <w:pPr>
        <w:widowControl w:val="0"/>
        <w:autoSpaceDE w:val="0"/>
        <w:autoSpaceDN w:val="0"/>
        <w:adjustRightInd w:val="0"/>
        <w:spacing w:after="160"/>
      </w:pPr>
    </w:p>
    <w:p w14:paraId="54A62FEF" w14:textId="77777777" w:rsidR="00630664" w:rsidRDefault="00630664" w:rsidP="00A8047A">
      <w:pPr>
        <w:widowControl w:val="0"/>
        <w:autoSpaceDE w:val="0"/>
        <w:autoSpaceDN w:val="0"/>
        <w:adjustRightInd w:val="0"/>
        <w:spacing w:after="160"/>
      </w:pPr>
    </w:p>
    <w:p w14:paraId="6F3ABD89" w14:textId="77777777" w:rsidR="00630664" w:rsidRDefault="00630664" w:rsidP="00A8047A">
      <w:pPr>
        <w:widowControl w:val="0"/>
        <w:autoSpaceDE w:val="0"/>
        <w:autoSpaceDN w:val="0"/>
        <w:adjustRightInd w:val="0"/>
        <w:spacing w:after="160"/>
      </w:pPr>
    </w:p>
    <w:p w14:paraId="25EC33F6" w14:textId="77777777" w:rsidR="00630664" w:rsidRDefault="00630664" w:rsidP="00A8047A">
      <w:pPr>
        <w:widowControl w:val="0"/>
        <w:autoSpaceDE w:val="0"/>
        <w:autoSpaceDN w:val="0"/>
        <w:adjustRightInd w:val="0"/>
        <w:spacing w:after="160"/>
      </w:pPr>
    </w:p>
    <w:p w14:paraId="10F6799D" w14:textId="77777777" w:rsidR="00630664" w:rsidRDefault="00630664" w:rsidP="00A8047A">
      <w:pPr>
        <w:widowControl w:val="0"/>
        <w:autoSpaceDE w:val="0"/>
        <w:autoSpaceDN w:val="0"/>
        <w:adjustRightInd w:val="0"/>
        <w:spacing w:after="160"/>
      </w:pPr>
    </w:p>
    <w:p w14:paraId="66DF5059" w14:textId="77777777" w:rsidR="00630664" w:rsidRDefault="00630664" w:rsidP="00A8047A">
      <w:pPr>
        <w:widowControl w:val="0"/>
        <w:autoSpaceDE w:val="0"/>
        <w:autoSpaceDN w:val="0"/>
        <w:adjustRightInd w:val="0"/>
        <w:spacing w:after="160"/>
      </w:pPr>
    </w:p>
    <w:p w14:paraId="2C391158" w14:textId="77777777" w:rsidR="00630664" w:rsidRDefault="00630664" w:rsidP="00A8047A">
      <w:pPr>
        <w:widowControl w:val="0"/>
        <w:autoSpaceDE w:val="0"/>
        <w:autoSpaceDN w:val="0"/>
        <w:adjustRightInd w:val="0"/>
        <w:spacing w:after="160"/>
      </w:pPr>
    </w:p>
    <w:p w14:paraId="5921C294" w14:textId="77777777" w:rsidR="00630664" w:rsidRDefault="00630664" w:rsidP="00A8047A">
      <w:pPr>
        <w:widowControl w:val="0"/>
        <w:autoSpaceDE w:val="0"/>
        <w:autoSpaceDN w:val="0"/>
        <w:adjustRightInd w:val="0"/>
        <w:spacing w:after="160"/>
      </w:pPr>
    </w:p>
    <w:p w14:paraId="51CAD026" w14:textId="77777777" w:rsidR="00630664" w:rsidRDefault="00630664" w:rsidP="00A8047A">
      <w:pPr>
        <w:widowControl w:val="0"/>
        <w:autoSpaceDE w:val="0"/>
        <w:autoSpaceDN w:val="0"/>
        <w:adjustRightInd w:val="0"/>
        <w:spacing w:after="160"/>
      </w:pPr>
    </w:p>
    <w:p w14:paraId="576DC24D" w14:textId="77777777" w:rsidR="00630664" w:rsidRDefault="00630664" w:rsidP="00A8047A">
      <w:pPr>
        <w:widowControl w:val="0"/>
        <w:autoSpaceDE w:val="0"/>
        <w:autoSpaceDN w:val="0"/>
        <w:adjustRightInd w:val="0"/>
        <w:spacing w:after="160"/>
      </w:pPr>
    </w:p>
    <w:p w14:paraId="62BA7BA6" w14:textId="77777777" w:rsidR="00630664" w:rsidRDefault="00630664" w:rsidP="00A8047A">
      <w:pPr>
        <w:widowControl w:val="0"/>
        <w:autoSpaceDE w:val="0"/>
        <w:autoSpaceDN w:val="0"/>
        <w:adjustRightInd w:val="0"/>
        <w:spacing w:after="160"/>
      </w:pPr>
    </w:p>
    <w:p w14:paraId="47F4A7F2" w14:textId="33F5408F" w:rsidR="00FE5DBA" w:rsidRDefault="004A340E" w:rsidP="00A8047A">
      <w:pPr>
        <w:widowControl w:val="0"/>
        <w:autoSpaceDE w:val="0"/>
        <w:autoSpaceDN w:val="0"/>
        <w:adjustRightInd w:val="0"/>
        <w:spacing w:after="160"/>
      </w:pPr>
      <w:r>
        <w:lastRenderedPageBreak/>
        <w:t xml:space="preserve">Table </w:t>
      </w:r>
      <w:r w:rsidR="00113020">
        <w:t>2</w:t>
      </w:r>
      <w:r>
        <w:t>: Illustrative data extracts by themes</w:t>
      </w:r>
      <w:r w:rsidR="00064AC0">
        <w:t>.</w:t>
      </w:r>
    </w:p>
    <w:tbl>
      <w:tblPr>
        <w:tblStyle w:val="GridTable4-Accent51"/>
        <w:tblW w:w="9067" w:type="dxa"/>
        <w:tblLook w:val="04A0" w:firstRow="1" w:lastRow="0" w:firstColumn="1" w:lastColumn="0" w:noHBand="0" w:noVBand="1"/>
      </w:tblPr>
      <w:tblGrid>
        <w:gridCol w:w="3111"/>
        <w:gridCol w:w="5956"/>
      </w:tblGrid>
      <w:tr w:rsidR="00EB2472" w:rsidRPr="00AB53F8" w14:paraId="6367931A" w14:textId="0D520527" w:rsidTr="00F12A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tcPr>
          <w:p w14:paraId="44E013E2" w14:textId="77777777" w:rsidR="00EB2472" w:rsidRPr="00AB53F8" w:rsidRDefault="00EB2472" w:rsidP="00957B04">
            <w:r w:rsidRPr="00AB53F8">
              <w:t>Themes</w:t>
            </w:r>
          </w:p>
        </w:tc>
        <w:tc>
          <w:tcPr>
            <w:tcW w:w="5956" w:type="dxa"/>
          </w:tcPr>
          <w:p w14:paraId="1E9C6F15" w14:textId="3C43D52C" w:rsidR="00EB2472" w:rsidRPr="00AB53F8" w:rsidRDefault="00EB2472" w:rsidP="00957B04">
            <w:pPr>
              <w:cnfStyle w:val="100000000000" w:firstRow="1" w:lastRow="0" w:firstColumn="0" w:lastColumn="0" w:oddVBand="0" w:evenVBand="0" w:oddHBand="0" w:evenHBand="0" w:firstRowFirstColumn="0" w:firstRowLastColumn="0" w:lastRowFirstColumn="0" w:lastRowLastColumn="0"/>
            </w:pPr>
            <w:r>
              <w:t>Illustrative example quotes</w:t>
            </w:r>
          </w:p>
        </w:tc>
      </w:tr>
      <w:tr w:rsidR="00C60CFA" w:rsidRPr="00AB53F8" w14:paraId="1DE1EA60" w14:textId="725E2ECA" w:rsidTr="00F12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vMerge w:val="restart"/>
          </w:tcPr>
          <w:p w14:paraId="178329A9" w14:textId="77777777" w:rsidR="00C60CFA" w:rsidRPr="00AB53F8" w:rsidRDefault="00C60CFA" w:rsidP="00957B04">
            <w:pPr>
              <w:rPr>
                <w:b w:val="0"/>
                <w:bCs w:val="0"/>
              </w:rPr>
            </w:pPr>
            <w:r w:rsidRPr="00AB53F8">
              <w:rPr>
                <w:b w:val="0"/>
                <w:bCs w:val="0"/>
                <w:sz w:val="22"/>
                <w:szCs w:val="22"/>
              </w:rPr>
              <w:t>Prioritisation aide</w:t>
            </w:r>
          </w:p>
        </w:tc>
        <w:tc>
          <w:tcPr>
            <w:tcW w:w="5956" w:type="dxa"/>
          </w:tcPr>
          <w:p w14:paraId="2235F8DA" w14:textId="625D7923" w:rsidR="00C60CFA" w:rsidRPr="009C7829" w:rsidRDefault="009C7829" w:rsidP="009C7829">
            <w:pPr>
              <w:jc w:val="both"/>
              <w:cnfStyle w:val="000000100000" w:firstRow="0" w:lastRow="0" w:firstColumn="0" w:lastColumn="0" w:oddVBand="0" w:evenVBand="0" w:oddHBand="1" w:evenHBand="0" w:firstRowFirstColumn="0" w:firstRowLastColumn="0" w:lastRowFirstColumn="0" w:lastRowLastColumn="0"/>
              <w:rPr>
                <w:i/>
                <w:iCs/>
              </w:rPr>
            </w:pPr>
            <w:r w:rsidRPr="009C7829">
              <w:rPr>
                <w:b/>
                <w:bCs/>
              </w:rPr>
              <w:t>Pharmacist 2:</w:t>
            </w:r>
            <w:r w:rsidRPr="00EF7BCA">
              <w:t xml:space="preserve"> </w:t>
            </w:r>
            <w:r w:rsidRPr="009C7829">
              <w:t>Knowing the risk means that you can concentrate on patients that are of high-risk. You're more likely to go back and review them and make sure that you screen their discharge summaries with a bit more time and a bit more care.</w:t>
            </w:r>
          </w:p>
        </w:tc>
      </w:tr>
      <w:tr w:rsidR="00C60CFA" w:rsidRPr="00AB53F8" w14:paraId="637700EB" w14:textId="77777777" w:rsidTr="00F12A26">
        <w:tc>
          <w:tcPr>
            <w:cnfStyle w:val="001000000000" w:firstRow="0" w:lastRow="0" w:firstColumn="1" w:lastColumn="0" w:oddVBand="0" w:evenVBand="0" w:oddHBand="0" w:evenHBand="0" w:firstRowFirstColumn="0" w:firstRowLastColumn="0" w:lastRowFirstColumn="0" w:lastRowLastColumn="0"/>
            <w:tcW w:w="3111" w:type="dxa"/>
            <w:vMerge/>
          </w:tcPr>
          <w:p w14:paraId="5051DEAE" w14:textId="77777777" w:rsidR="00C60CFA" w:rsidRPr="00AB53F8" w:rsidRDefault="00C60CFA" w:rsidP="00957B04">
            <w:pPr>
              <w:rPr>
                <w:sz w:val="22"/>
                <w:szCs w:val="22"/>
              </w:rPr>
            </w:pPr>
          </w:p>
        </w:tc>
        <w:tc>
          <w:tcPr>
            <w:tcW w:w="5956" w:type="dxa"/>
          </w:tcPr>
          <w:p w14:paraId="6FD8991E" w14:textId="21F7C047" w:rsidR="00C60CFA" w:rsidRPr="00F12A26" w:rsidRDefault="009C7829" w:rsidP="00957B04">
            <w:pPr>
              <w:cnfStyle w:val="000000000000" w:firstRow="0" w:lastRow="0" w:firstColumn="0" w:lastColumn="0" w:oddVBand="0" w:evenVBand="0" w:oddHBand="0" w:evenHBand="0" w:firstRowFirstColumn="0" w:firstRowLastColumn="0" w:lastRowFirstColumn="0" w:lastRowLastColumn="0"/>
              <w:rPr>
                <w:sz w:val="22"/>
                <w:szCs w:val="22"/>
              </w:rPr>
            </w:pPr>
            <w:r w:rsidRPr="009C7829">
              <w:rPr>
                <w:b/>
                <w:bCs/>
              </w:rPr>
              <w:t xml:space="preserve">Pharmacist </w:t>
            </w:r>
            <w:r w:rsidR="00C60CFA" w:rsidRPr="006E3594">
              <w:rPr>
                <w:b/>
                <w:bCs/>
                <w:sz w:val="22"/>
                <w:szCs w:val="22"/>
              </w:rPr>
              <w:t>5:</w:t>
            </w:r>
            <w:r w:rsidR="00C60CFA">
              <w:rPr>
                <w:sz w:val="22"/>
                <w:szCs w:val="22"/>
              </w:rPr>
              <w:t xml:space="preserve"> </w:t>
            </w:r>
            <w:r w:rsidR="00C60CFA" w:rsidRPr="00F12A26">
              <w:rPr>
                <w:sz w:val="22"/>
                <w:szCs w:val="22"/>
              </w:rPr>
              <w:t xml:space="preserve">On a busy day this tool could help you. Sometimes we have </w:t>
            </w:r>
            <w:r w:rsidR="00C60CFA">
              <w:rPr>
                <w:sz w:val="22"/>
                <w:szCs w:val="22"/>
              </w:rPr>
              <w:t xml:space="preserve">fifteen discharge summaries </w:t>
            </w:r>
            <w:r w:rsidR="00C60CFA" w:rsidRPr="00F12A26">
              <w:rPr>
                <w:sz w:val="22"/>
                <w:szCs w:val="22"/>
              </w:rPr>
              <w:t>to do in one day. If I have a younger patient who is 65, they’ve come in because of constipation and the PRIME tool says there is only a 4%</w:t>
            </w:r>
            <w:r w:rsidR="00C60CFA">
              <w:rPr>
                <w:sz w:val="22"/>
                <w:szCs w:val="22"/>
              </w:rPr>
              <w:t xml:space="preserve"> [MRH]</w:t>
            </w:r>
            <w:r w:rsidR="00C60CFA" w:rsidRPr="00F12A26">
              <w:rPr>
                <w:sz w:val="22"/>
                <w:szCs w:val="22"/>
              </w:rPr>
              <w:t xml:space="preserve"> risk then it would give me reassurance. So, it won't just help prioritise clinical screening and medication review but also discharge prioritisation</w:t>
            </w:r>
            <w:r w:rsidR="00C60CFA">
              <w:rPr>
                <w:sz w:val="22"/>
                <w:szCs w:val="22"/>
              </w:rPr>
              <w:t>.</w:t>
            </w:r>
          </w:p>
        </w:tc>
      </w:tr>
      <w:tr w:rsidR="00C60CFA" w:rsidRPr="00AB53F8" w14:paraId="41580BE4" w14:textId="77777777" w:rsidTr="00F12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vMerge/>
          </w:tcPr>
          <w:p w14:paraId="32A63007" w14:textId="77777777" w:rsidR="00C60CFA" w:rsidRPr="00AB53F8" w:rsidRDefault="00C60CFA" w:rsidP="00957B04">
            <w:pPr>
              <w:rPr>
                <w:sz w:val="22"/>
                <w:szCs w:val="22"/>
              </w:rPr>
            </w:pPr>
          </w:p>
        </w:tc>
        <w:tc>
          <w:tcPr>
            <w:tcW w:w="5956" w:type="dxa"/>
          </w:tcPr>
          <w:p w14:paraId="2C8D3C89" w14:textId="3E3A3E4F" w:rsidR="00C60CFA" w:rsidRPr="006E3594" w:rsidRDefault="009C7829" w:rsidP="00957B04">
            <w:pPr>
              <w:cnfStyle w:val="000000100000" w:firstRow="0" w:lastRow="0" w:firstColumn="0" w:lastColumn="0" w:oddVBand="0" w:evenVBand="0" w:oddHBand="1" w:evenHBand="0" w:firstRowFirstColumn="0" w:firstRowLastColumn="0" w:lastRowFirstColumn="0" w:lastRowLastColumn="0"/>
              <w:rPr>
                <w:b/>
                <w:bCs/>
                <w:sz w:val="22"/>
                <w:szCs w:val="22"/>
              </w:rPr>
            </w:pPr>
            <w:r w:rsidRPr="009C7829">
              <w:rPr>
                <w:b/>
                <w:bCs/>
              </w:rPr>
              <w:t xml:space="preserve">Pharmacist </w:t>
            </w:r>
            <w:r w:rsidR="00C60CFA">
              <w:rPr>
                <w:b/>
                <w:bCs/>
                <w:sz w:val="22"/>
                <w:szCs w:val="22"/>
              </w:rPr>
              <w:t xml:space="preserve">10: </w:t>
            </w:r>
            <w:r w:rsidR="00C60CFA" w:rsidRPr="00C60CFA">
              <w:rPr>
                <w:sz w:val="22"/>
                <w:szCs w:val="22"/>
              </w:rPr>
              <w:t>I think the tool can help prioritise patients but not solely based on the tool. You still need a pharmacist to assess the patient and use their own clinical judgement.</w:t>
            </w:r>
          </w:p>
        </w:tc>
      </w:tr>
      <w:tr w:rsidR="003B4F0A" w:rsidRPr="00AB53F8" w14:paraId="503B1C26" w14:textId="0B989000" w:rsidTr="00DD3227">
        <w:tc>
          <w:tcPr>
            <w:cnfStyle w:val="001000000000" w:firstRow="0" w:lastRow="0" w:firstColumn="1" w:lastColumn="0" w:oddVBand="0" w:evenVBand="0" w:oddHBand="0" w:evenHBand="0" w:firstRowFirstColumn="0" w:firstRowLastColumn="0" w:lastRowFirstColumn="0" w:lastRowLastColumn="0"/>
            <w:tcW w:w="3111" w:type="dxa"/>
            <w:vMerge w:val="restart"/>
            <w:shd w:val="clear" w:color="auto" w:fill="auto"/>
          </w:tcPr>
          <w:p w14:paraId="7EE91E44" w14:textId="79F1B4C3" w:rsidR="003B4F0A" w:rsidRPr="00AB53F8" w:rsidRDefault="003B4F0A" w:rsidP="00957B04">
            <w:pPr>
              <w:rPr>
                <w:b w:val="0"/>
                <w:bCs w:val="0"/>
              </w:rPr>
            </w:pPr>
            <w:r>
              <w:rPr>
                <w:b w:val="0"/>
                <w:bCs w:val="0"/>
              </w:rPr>
              <w:t>Medicine deprescribing alerts</w:t>
            </w:r>
          </w:p>
        </w:tc>
        <w:tc>
          <w:tcPr>
            <w:tcW w:w="5956" w:type="dxa"/>
          </w:tcPr>
          <w:p w14:paraId="76D90A71" w14:textId="1ED0E2D8" w:rsidR="003B4F0A" w:rsidRPr="00296397" w:rsidRDefault="00296397" w:rsidP="00296397">
            <w:pPr>
              <w:jc w:val="both"/>
              <w:cnfStyle w:val="000000000000" w:firstRow="0" w:lastRow="0" w:firstColumn="0" w:lastColumn="0" w:oddVBand="0" w:evenVBand="0" w:oddHBand="0" w:evenHBand="0" w:firstRowFirstColumn="0" w:firstRowLastColumn="0" w:lastRowFirstColumn="0" w:lastRowLastColumn="0"/>
              <w:rPr>
                <w:i/>
                <w:iCs/>
                <w:color w:val="000000" w:themeColor="text1"/>
              </w:rPr>
            </w:pPr>
            <w:r w:rsidRPr="00296397">
              <w:rPr>
                <w:b/>
                <w:bCs/>
                <w:color w:val="000000" w:themeColor="text1"/>
              </w:rPr>
              <w:t>Pharmacist 1:</w:t>
            </w:r>
            <w:r>
              <w:rPr>
                <w:color w:val="000000" w:themeColor="text1"/>
              </w:rPr>
              <w:t xml:space="preserve"> </w:t>
            </w:r>
            <w:r w:rsidRPr="00296397">
              <w:rPr>
                <w:color w:val="000000" w:themeColor="text1"/>
              </w:rPr>
              <w:t>This person is on so many medications. We can rationalise some of these medications, surely.</w:t>
            </w:r>
          </w:p>
        </w:tc>
      </w:tr>
      <w:tr w:rsidR="003B4F0A" w:rsidRPr="00AB53F8" w14:paraId="6C10B992" w14:textId="77777777" w:rsidTr="00DD32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vMerge/>
            <w:shd w:val="clear" w:color="auto" w:fill="auto"/>
          </w:tcPr>
          <w:p w14:paraId="4CFFB5A9" w14:textId="77777777" w:rsidR="003B4F0A" w:rsidRDefault="003B4F0A" w:rsidP="00957B04">
            <w:pPr>
              <w:rPr>
                <w:b w:val="0"/>
                <w:bCs w:val="0"/>
              </w:rPr>
            </w:pPr>
          </w:p>
        </w:tc>
        <w:tc>
          <w:tcPr>
            <w:tcW w:w="5956" w:type="dxa"/>
          </w:tcPr>
          <w:p w14:paraId="08E8F521" w14:textId="5202260B" w:rsidR="003B4F0A" w:rsidRDefault="009C7829" w:rsidP="00957B04">
            <w:pPr>
              <w:cnfStyle w:val="000000100000" w:firstRow="0" w:lastRow="0" w:firstColumn="0" w:lastColumn="0" w:oddVBand="0" w:evenVBand="0" w:oddHBand="1" w:evenHBand="0" w:firstRowFirstColumn="0" w:firstRowLastColumn="0" w:lastRowFirstColumn="0" w:lastRowLastColumn="0"/>
              <w:rPr>
                <w:b/>
                <w:bCs/>
              </w:rPr>
            </w:pPr>
            <w:r w:rsidRPr="009C7829">
              <w:rPr>
                <w:b/>
                <w:bCs/>
              </w:rPr>
              <w:t xml:space="preserve">Pharmacist </w:t>
            </w:r>
            <w:r w:rsidR="003B4F0A">
              <w:rPr>
                <w:b/>
                <w:bCs/>
              </w:rPr>
              <w:t xml:space="preserve">6: </w:t>
            </w:r>
            <w:r w:rsidR="003D6AB7" w:rsidRPr="003D6AB7">
              <w:t xml:space="preserve">The tool does highlight the dangers of polypharmacy because </w:t>
            </w:r>
            <w:r w:rsidR="003D6AB7">
              <w:t>it</w:t>
            </w:r>
            <w:r w:rsidR="003D6AB7" w:rsidRPr="003D6AB7">
              <w:t xml:space="preserve"> score</w:t>
            </w:r>
            <w:r w:rsidR="003D6AB7">
              <w:t>s</w:t>
            </w:r>
            <w:r w:rsidR="003D6AB7" w:rsidRPr="003D6AB7">
              <w:t xml:space="preserve"> for </w:t>
            </w:r>
            <w:r w:rsidR="003D6AB7">
              <w:t>the</w:t>
            </w:r>
            <w:r w:rsidR="003D6AB7" w:rsidRPr="003D6AB7">
              <w:t xml:space="preserve"> total number of medications</w:t>
            </w:r>
            <w:r w:rsidR="003D6AB7">
              <w:t xml:space="preserve"> a person is on. </w:t>
            </w:r>
            <w:r w:rsidR="003D6AB7" w:rsidRPr="003D6AB7">
              <w:t>I would want to rationalise medicine whenever possible</w:t>
            </w:r>
            <w:r w:rsidR="003D6AB7">
              <w:t xml:space="preserve"> based on this tool</w:t>
            </w:r>
            <w:r w:rsidR="003D6AB7" w:rsidRPr="003D6AB7">
              <w:t>.</w:t>
            </w:r>
          </w:p>
        </w:tc>
      </w:tr>
      <w:tr w:rsidR="0075641B" w:rsidRPr="00AB53F8" w14:paraId="3A7EA53F" w14:textId="7F7284F6" w:rsidTr="00CE0D58">
        <w:tc>
          <w:tcPr>
            <w:cnfStyle w:val="001000000000" w:firstRow="0" w:lastRow="0" w:firstColumn="1" w:lastColumn="0" w:oddVBand="0" w:evenVBand="0" w:oddHBand="0" w:evenHBand="0" w:firstRowFirstColumn="0" w:firstRowLastColumn="0" w:lastRowFirstColumn="0" w:lastRowLastColumn="0"/>
            <w:tcW w:w="3111" w:type="dxa"/>
            <w:vMerge w:val="restart"/>
            <w:shd w:val="clear" w:color="auto" w:fill="DFEBF7"/>
          </w:tcPr>
          <w:p w14:paraId="06B3CAFB" w14:textId="19E5D94A" w:rsidR="0075641B" w:rsidRPr="00AB53F8" w:rsidRDefault="0075641B" w:rsidP="0075641B">
            <w:pPr>
              <w:rPr>
                <w:b w:val="0"/>
                <w:bCs w:val="0"/>
              </w:rPr>
            </w:pPr>
            <w:r w:rsidRPr="0075641B">
              <w:rPr>
                <w:b w:val="0"/>
                <w:bCs w:val="0"/>
                <w:color w:val="000000" w:themeColor="text1"/>
              </w:rPr>
              <w:t>Biopsychosocial model of medication management</w:t>
            </w:r>
          </w:p>
        </w:tc>
        <w:tc>
          <w:tcPr>
            <w:tcW w:w="5956" w:type="dxa"/>
          </w:tcPr>
          <w:p w14:paraId="6763D191" w14:textId="6DAABFD5" w:rsidR="0075641B" w:rsidRPr="00AB53F8" w:rsidRDefault="009C7829" w:rsidP="0075641B">
            <w:pPr>
              <w:cnfStyle w:val="000000000000" w:firstRow="0" w:lastRow="0" w:firstColumn="0" w:lastColumn="0" w:oddVBand="0" w:evenVBand="0" w:oddHBand="0" w:evenHBand="0" w:firstRowFirstColumn="0" w:firstRowLastColumn="0" w:lastRowFirstColumn="0" w:lastRowLastColumn="0"/>
            </w:pPr>
            <w:r w:rsidRPr="009C7829">
              <w:rPr>
                <w:b/>
                <w:bCs/>
              </w:rPr>
              <w:t xml:space="preserve">Pharmacist </w:t>
            </w:r>
            <w:r w:rsidR="0075641B" w:rsidRPr="00F16538">
              <w:rPr>
                <w:b/>
                <w:bCs/>
              </w:rPr>
              <w:t>2:</w:t>
            </w:r>
            <w:r w:rsidR="0075641B">
              <w:t xml:space="preserve"> </w:t>
            </w:r>
            <w:r w:rsidR="0075641B" w:rsidRPr="00145730">
              <w:t xml:space="preserve">I think one of the interesting things is the fact that patients score for living alone. </w:t>
            </w:r>
            <w:r w:rsidR="0075641B">
              <w:t>I</w:t>
            </w:r>
            <w:r w:rsidR="0075641B" w:rsidRPr="00145730">
              <w:t>t does make you kind of think a bit more holistic</w:t>
            </w:r>
            <w:r w:rsidR="0075641B">
              <w:t>ally</w:t>
            </w:r>
            <w:r w:rsidR="0075641B" w:rsidRPr="00145730">
              <w:t xml:space="preserve"> about the patient.</w:t>
            </w:r>
            <w:r w:rsidR="0075641B">
              <w:t xml:space="preserve"> </w:t>
            </w:r>
            <w:r w:rsidR="0075641B" w:rsidRPr="00145730">
              <w:t>So, you could think about whether the patient gets help with their medications either from family friends or from their carers. If patients have twice-daily carers, is it possible to change the timing of the medications so that they can get help from their carers in taking their medications? This would be a good way especially in cases where patients live alone, and they may have some sort of cognitive impairment to make sure that they are compliant with their medication.</w:t>
            </w:r>
          </w:p>
        </w:tc>
      </w:tr>
      <w:tr w:rsidR="00CE0D58" w:rsidRPr="00AB53F8" w14:paraId="6FE6B06C" w14:textId="77777777" w:rsidTr="00F12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vMerge/>
          </w:tcPr>
          <w:p w14:paraId="54007A38" w14:textId="77777777" w:rsidR="00CE0D58" w:rsidRPr="00AB53F8" w:rsidRDefault="00CE0D58" w:rsidP="00957B04"/>
        </w:tc>
        <w:tc>
          <w:tcPr>
            <w:tcW w:w="5956" w:type="dxa"/>
          </w:tcPr>
          <w:p w14:paraId="315DA098" w14:textId="50F93569" w:rsidR="00CE0D58" w:rsidRPr="002242B1" w:rsidRDefault="009C7829" w:rsidP="00957B04">
            <w:pPr>
              <w:cnfStyle w:val="000000100000" w:firstRow="0" w:lastRow="0" w:firstColumn="0" w:lastColumn="0" w:oddVBand="0" w:evenVBand="0" w:oddHBand="1" w:evenHBand="0" w:firstRowFirstColumn="0" w:firstRowLastColumn="0" w:lastRowFirstColumn="0" w:lastRowLastColumn="0"/>
              <w:rPr>
                <w:b/>
                <w:bCs/>
              </w:rPr>
            </w:pPr>
            <w:r w:rsidRPr="009C7829">
              <w:rPr>
                <w:b/>
                <w:bCs/>
              </w:rPr>
              <w:t xml:space="preserve">Pharmacist </w:t>
            </w:r>
            <w:r w:rsidR="00CE0D58">
              <w:rPr>
                <w:b/>
                <w:bCs/>
              </w:rPr>
              <w:t xml:space="preserve">4: </w:t>
            </w:r>
            <w:r w:rsidR="00CE0D58" w:rsidRPr="002242B1">
              <w:t>I see that the tool scores patients if they are living alone.</w:t>
            </w:r>
            <w:r w:rsidR="00CE0D58">
              <w:t xml:space="preserve"> </w:t>
            </w:r>
            <w:r w:rsidR="00CE0D58" w:rsidRPr="002242B1">
              <w:t>I think it hides some of the nuances. Just because</w:t>
            </w:r>
            <w:r w:rsidR="00CE0D58">
              <w:t xml:space="preserve"> </w:t>
            </w:r>
            <w:r w:rsidR="00CE0D58" w:rsidRPr="002242B1">
              <w:t>somebody is living with family means they will get the help taking their medications they need. There may be conflict within the family, they themselves may not be medically well versed or understand what the medications are. I think the tool may be overly simplifying in this case.</w:t>
            </w:r>
          </w:p>
        </w:tc>
      </w:tr>
      <w:tr w:rsidR="0052700A" w:rsidRPr="00AB53F8" w14:paraId="747D08CE" w14:textId="77777777" w:rsidTr="00F12A26">
        <w:tc>
          <w:tcPr>
            <w:cnfStyle w:val="001000000000" w:firstRow="0" w:lastRow="0" w:firstColumn="1" w:lastColumn="0" w:oddVBand="0" w:evenVBand="0" w:oddHBand="0" w:evenHBand="0" w:firstRowFirstColumn="0" w:firstRowLastColumn="0" w:lastRowFirstColumn="0" w:lastRowLastColumn="0"/>
            <w:tcW w:w="3111" w:type="dxa"/>
            <w:vMerge w:val="restart"/>
          </w:tcPr>
          <w:p w14:paraId="6EB8A816" w14:textId="06011973" w:rsidR="0052700A" w:rsidRPr="00AB53F8" w:rsidRDefault="0052700A" w:rsidP="00957B04">
            <w:r w:rsidRPr="00AB53F8">
              <w:rPr>
                <w:b w:val="0"/>
                <w:bCs w:val="0"/>
              </w:rPr>
              <w:t>Communication/presentation of risk to patients, hospital staff and community teams</w:t>
            </w:r>
          </w:p>
        </w:tc>
        <w:tc>
          <w:tcPr>
            <w:tcW w:w="5956" w:type="dxa"/>
          </w:tcPr>
          <w:p w14:paraId="3D154822" w14:textId="6AB03D2B" w:rsidR="00C53561" w:rsidRPr="008D657D" w:rsidRDefault="00C53561" w:rsidP="00957B04">
            <w:pPr>
              <w:cnfStyle w:val="000000000000" w:firstRow="0" w:lastRow="0" w:firstColumn="0" w:lastColumn="0" w:oddVBand="0" w:evenVBand="0" w:oddHBand="0" w:evenHBand="0" w:firstRowFirstColumn="0" w:firstRowLastColumn="0" w:lastRowFirstColumn="0" w:lastRowLastColumn="0"/>
              <w:rPr>
                <w:b/>
                <w:bCs/>
              </w:rPr>
            </w:pPr>
            <w:r w:rsidRPr="009C7829">
              <w:rPr>
                <w:b/>
                <w:bCs/>
              </w:rPr>
              <w:t xml:space="preserve">Pharmacist </w:t>
            </w:r>
            <w:r w:rsidRPr="008D657D">
              <w:rPr>
                <w:b/>
                <w:bCs/>
              </w:rPr>
              <w:t>5:</w:t>
            </w:r>
            <w:r>
              <w:t xml:space="preserve"> </w:t>
            </w:r>
            <w:r w:rsidRPr="008D657D">
              <w:t>The way that you present the risk can really alter patients and pharmacist perception of the risk. Say for example you take somebody who doesn't work on the ward very often and you tell them that the patient has a 30% risk of suffering from harm, they might think that that’s not too bad</w:t>
            </w:r>
            <w:r>
              <w:t>:</w:t>
            </w:r>
            <w:r w:rsidRPr="008D657D">
              <w:t xml:space="preserve"> it's only 30%. However, when you think about it that is almost one in three chance and I'm pretty sure if you were to tell someone that they have a 1-in 3 chance of </w:t>
            </w:r>
            <w:r w:rsidRPr="008D657D">
              <w:lastRenderedPageBreak/>
              <w:t>suffering from some sort of adverse drug event they are likely to be quite alarmed by this and be more questioning of why they're on the medications, what is the benefit, what is the harm, how did you come to the decision that I need to be on the drug, for example.</w:t>
            </w:r>
          </w:p>
        </w:tc>
      </w:tr>
      <w:tr w:rsidR="0052700A" w:rsidRPr="00AB53F8" w14:paraId="4B108E23" w14:textId="7B6B9FC8" w:rsidTr="00F12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vMerge/>
          </w:tcPr>
          <w:p w14:paraId="27964638" w14:textId="5E874223" w:rsidR="0052700A" w:rsidRPr="00AB53F8" w:rsidRDefault="0052700A" w:rsidP="00957B04">
            <w:pPr>
              <w:rPr>
                <w:b w:val="0"/>
                <w:bCs w:val="0"/>
              </w:rPr>
            </w:pPr>
          </w:p>
        </w:tc>
        <w:tc>
          <w:tcPr>
            <w:tcW w:w="5956" w:type="dxa"/>
          </w:tcPr>
          <w:p w14:paraId="6ADDC260" w14:textId="04A78363" w:rsidR="0052700A" w:rsidRPr="00C53561" w:rsidRDefault="00C53561" w:rsidP="00957B04">
            <w:pPr>
              <w:cnfStyle w:val="000000100000" w:firstRow="0" w:lastRow="0" w:firstColumn="0" w:lastColumn="0" w:oddVBand="0" w:evenVBand="0" w:oddHBand="1" w:evenHBand="0" w:firstRowFirstColumn="0" w:firstRowLastColumn="0" w:lastRowFirstColumn="0" w:lastRowLastColumn="0"/>
              <w:rPr>
                <w:bCs/>
                <w:i/>
                <w:iCs/>
                <w:color w:val="000000" w:themeColor="text1"/>
              </w:rPr>
            </w:pPr>
            <w:r w:rsidRPr="00C53561">
              <w:rPr>
                <w:b/>
                <w:color w:val="000000" w:themeColor="text1"/>
              </w:rPr>
              <w:t>Pharmacist 9:</w:t>
            </w:r>
            <w:r>
              <w:rPr>
                <w:bCs/>
                <w:color w:val="000000" w:themeColor="text1"/>
              </w:rPr>
              <w:t xml:space="preserve"> </w:t>
            </w:r>
            <w:r w:rsidRPr="00C53561">
              <w:rPr>
                <w:bCs/>
                <w:color w:val="000000" w:themeColor="text1"/>
              </w:rPr>
              <w:t>The PRIME risk along with my clinical knowledge of the patient would make me suggest a GP review for this patient post-discharge. The 40% helps consolidate and reassure me that, yes, GP review is needed.</w:t>
            </w:r>
          </w:p>
        </w:tc>
      </w:tr>
      <w:tr w:rsidR="00724EE4" w:rsidRPr="00AB53F8" w14:paraId="3ACF929F" w14:textId="5876CD7E" w:rsidTr="007F40FB">
        <w:tc>
          <w:tcPr>
            <w:cnfStyle w:val="001000000000" w:firstRow="0" w:lastRow="0" w:firstColumn="1" w:lastColumn="0" w:oddVBand="0" w:evenVBand="0" w:oddHBand="0" w:evenHBand="0" w:firstRowFirstColumn="0" w:firstRowLastColumn="0" w:lastRowFirstColumn="0" w:lastRowLastColumn="0"/>
            <w:tcW w:w="3111" w:type="dxa"/>
            <w:vMerge w:val="restart"/>
            <w:shd w:val="clear" w:color="auto" w:fill="DFEBF7"/>
          </w:tcPr>
          <w:p w14:paraId="5529AC9B" w14:textId="3EAEF373" w:rsidR="00724EE4" w:rsidRPr="00AB53F8" w:rsidRDefault="00724EE4" w:rsidP="0075641B">
            <w:pPr>
              <w:rPr>
                <w:b w:val="0"/>
                <w:bCs w:val="0"/>
              </w:rPr>
            </w:pPr>
            <w:r w:rsidRPr="0075641B">
              <w:rPr>
                <w:b w:val="0"/>
                <w:bCs w:val="0"/>
              </w:rPr>
              <w:t>Streamlining community follow-up and integrating MRH risk discussion into clinical practice</w:t>
            </w:r>
          </w:p>
        </w:tc>
        <w:tc>
          <w:tcPr>
            <w:tcW w:w="5956" w:type="dxa"/>
          </w:tcPr>
          <w:p w14:paraId="60B634E9" w14:textId="2D8120F1" w:rsidR="00724EE4" w:rsidRPr="00AB53F8" w:rsidRDefault="009C7829" w:rsidP="0075641B">
            <w:pPr>
              <w:cnfStyle w:val="000000000000" w:firstRow="0" w:lastRow="0" w:firstColumn="0" w:lastColumn="0" w:oddVBand="0" w:evenVBand="0" w:oddHBand="0" w:evenHBand="0" w:firstRowFirstColumn="0" w:firstRowLastColumn="0" w:lastRowFirstColumn="0" w:lastRowLastColumn="0"/>
            </w:pPr>
            <w:r w:rsidRPr="009C7829">
              <w:rPr>
                <w:b/>
                <w:bCs/>
              </w:rPr>
              <w:t xml:space="preserve">Pharmacist </w:t>
            </w:r>
            <w:r w:rsidR="00724EE4" w:rsidRPr="000E6118">
              <w:rPr>
                <w:b/>
                <w:bCs/>
              </w:rPr>
              <w:t>2:</w:t>
            </w:r>
            <w:r w:rsidR="00724EE4">
              <w:t xml:space="preserve"> </w:t>
            </w:r>
            <w:r w:rsidR="00724EE4" w:rsidRPr="000E6118">
              <w:t>I think the tool will either succeed or fail based on the community follow</w:t>
            </w:r>
            <w:r w:rsidR="00724EE4">
              <w:t>-</w:t>
            </w:r>
            <w:r w:rsidR="00724EE4" w:rsidRPr="000E6118">
              <w:t xml:space="preserve">up. I can see a lot of people thinking to themselves, why am I using this tool and flagging up who is at high risk if these patients do not get followed up properly. I do think it is a good tool that has the potential to help pharmacists do their </w:t>
            </w:r>
            <w:proofErr w:type="gramStart"/>
            <w:r w:rsidR="00724EE4" w:rsidRPr="000E6118">
              <w:t>job</w:t>
            </w:r>
            <w:proofErr w:type="gramEnd"/>
            <w:r w:rsidR="00724EE4" w:rsidRPr="000E6118">
              <w:t xml:space="preserve"> but we would need to ensure proper follow</w:t>
            </w:r>
            <w:r w:rsidR="00724EE4">
              <w:t>-</w:t>
            </w:r>
            <w:r w:rsidR="00724EE4" w:rsidRPr="000E6118">
              <w:t>up to stop it from falling by the wayside.</w:t>
            </w:r>
          </w:p>
        </w:tc>
      </w:tr>
      <w:tr w:rsidR="00724EE4" w:rsidRPr="00AB53F8" w14:paraId="75759CA0" w14:textId="77777777" w:rsidTr="007F40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vMerge/>
            <w:shd w:val="clear" w:color="auto" w:fill="DFEBF7"/>
          </w:tcPr>
          <w:p w14:paraId="6AED12E7" w14:textId="77777777" w:rsidR="00724EE4" w:rsidRPr="00AB53F8" w:rsidRDefault="00724EE4" w:rsidP="00957B04"/>
        </w:tc>
        <w:tc>
          <w:tcPr>
            <w:tcW w:w="5956" w:type="dxa"/>
          </w:tcPr>
          <w:p w14:paraId="23FB298C" w14:textId="35D69C7B" w:rsidR="00724EE4" w:rsidRPr="00427B97" w:rsidRDefault="009C7829" w:rsidP="00427B97">
            <w:pPr>
              <w:jc w:val="both"/>
              <w:cnfStyle w:val="000000100000" w:firstRow="0" w:lastRow="0" w:firstColumn="0" w:lastColumn="0" w:oddVBand="0" w:evenVBand="0" w:oddHBand="1" w:evenHBand="0" w:firstRowFirstColumn="0" w:firstRowLastColumn="0" w:lastRowFirstColumn="0" w:lastRowLastColumn="0"/>
            </w:pPr>
            <w:r w:rsidRPr="009C7829">
              <w:rPr>
                <w:b/>
                <w:bCs/>
              </w:rPr>
              <w:t xml:space="preserve">Pharmacist </w:t>
            </w:r>
            <w:r w:rsidR="00724EE4">
              <w:rPr>
                <w:b/>
                <w:bCs/>
              </w:rPr>
              <w:t>8:</w:t>
            </w:r>
            <w:r w:rsidR="00724EE4" w:rsidRPr="00427B97">
              <w:rPr>
                <w:b/>
                <w:bCs/>
              </w:rPr>
              <w:t xml:space="preserve"> </w:t>
            </w:r>
            <w:r w:rsidR="00427B97" w:rsidRPr="00427B97">
              <w:t>You can probably put the PRIME risk in the discharge summary or integrate it into our new medication discharge platforms and DMS [</w:t>
            </w:r>
            <w:r w:rsidR="00427B97" w:rsidRPr="00427B97">
              <w:rPr>
                <w:color w:val="000000" w:themeColor="text1"/>
              </w:rPr>
              <w:t xml:space="preserve">Discharge Medicines Service] </w:t>
            </w:r>
            <w:r w:rsidR="00427B97" w:rsidRPr="00427B97">
              <w:t xml:space="preserve">so you can easily flag someone’s medications up for community review. </w:t>
            </w:r>
            <w:proofErr w:type="gramStart"/>
            <w:r w:rsidR="00724EE4" w:rsidRPr="00803184">
              <w:t>At the moment</w:t>
            </w:r>
            <w:proofErr w:type="gramEnd"/>
            <w:r w:rsidR="00724EE4" w:rsidRPr="00803184">
              <w:t xml:space="preserve"> we are so reliant on GPs and involving the community pharmacists would be good. Some of the medication reviews and other things could easily be done by the community pharmacist.</w:t>
            </w:r>
          </w:p>
        </w:tc>
      </w:tr>
      <w:tr w:rsidR="006B3FA4" w:rsidRPr="00AB53F8" w14:paraId="3291143F" w14:textId="77777777" w:rsidTr="007F40FB">
        <w:tc>
          <w:tcPr>
            <w:cnfStyle w:val="001000000000" w:firstRow="0" w:lastRow="0" w:firstColumn="1" w:lastColumn="0" w:oddVBand="0" w:evenVBand="0" w:oddHBand="0" w:evenHBand="0" w:firstRowFirstColumn="0" w:firstRowLastColumn="0" w:lastRowFirstColumn="0" w:lastRowLastColumn="0"/>
            <w:tcW w:w="3111" w:type="dxa"/>
            <w:vMerge w:val="restart"/>
            <w:shd w:val="clear" w:color="auto" w:fill="FFFFFF" w:themeFill="background1"/>
          </w:tcPr>
          <w:p w14:paraId="4654D3E2" w14:textId="38C19281" w:rsidR="006B3FA4" w:rsidRPr="00AB53F8" w:rsidRDefault="006B3FA4" w:rsidP="00957B04">
            <w:r w:rsidRPr="00AB53F8">
              <w:rPr>
                <w:b w:val="0"/>
                <w:bCs w:val="0"/>
              </w:rPr>
              <w:t>Barriers towards clinical integration</w:t>
            </w:r>
          </w:p>
        </w:tc>
        <w:tc>
          <w:tcPr>
            <w:tcW w:w="5956" w:type="dxa"/>
          </w:tcPr>
          <w:p w14:paraId="3F51720C" w14:textId="4057F8F5" w:rsidR="006B3FA4" w:rsidRPr="001C34C9" w:rsidRDefault="009C7829" w:rsidP="00EF7D11">
            <w:pPr>
              <w:cnfStyle w:val="000000000000" w:firstRow="0" w:lastRow="0" w:firstColumn="0" w:lastColumn="0" w:oddVBand="0" w:evenVBand="0" w:oddHBand="0" w:evenHBand="0" w:firstRowFirstColumn="0" w:firstRowLastColumn="0" w:lastRowFirstColumn="0" w:lastRowLastColumn="0"/>
              <w:rPr>
                <w:b/>
                <w:bCs/>
              </w:rPr>
            </w:pPr>
            <w:r w:rsidRPr="009C7829">
              <w:rPr>
                <w:b/>
                <w:bCs/>
              </w:rPr>
              <w:t xml:space="preserve">Pharmacist </w:t>
            </w:r>
            <w:r w:rsidR="006B3FA4">
              <w:rPr>
                <w:b/>
                <w:bCs/>
              </w:rPr>
              <w:t xml:space="preserve">2: </w:t>
            </w:r>
            <w:r w:rsidR="006B3FA4" w:rsidRPr="00192B83">
              <w:t>One of the disadvantages of the tool is the fact that you can only change so many things to reduce the risk as per the tool. you can't change age or gender. You can try to reduce the number of medications they are on but if they need to be on those medications then your</w:t>
            </w:r>
            <w:r w:rsidR="006B3FA4">
              <w:t xml:space="preserve"> l</w:t>
            </w:r>
            <w:r w:rsidR="006B3FA4" w:rsidRPr="00192B83">
              <w:t xml:space="preserve">imited in terms of your interventions </w:t>
            </w:r>
            <w:r w:rsidR="006B3FA4">
              <w:t>that</w:t>
            </w:r>
            <w:r w:rsidR="006B3FA4" w:rsidRPr="00192B83">
              <w:t xml:space="preserve"> reduce the risk of medication related harm following discharge. In this sense the tool would just highlight to you who is at risk of suffering from harm but in terms of solutions you are limited to a bit more counselling and making sure that they are appropriately followed up in the community. I can see this eventually leading to some anxiety within the team and the pharmacist who is doing the discharge summary for the patient because they may well feel like they've done an inadequate job.</w:t>
            </w:r>
          </w:p>
        </w:tc>
      </w:tr>
      <w:tr w:rsidR="006B3FA4" w:rsidRPr="00AB53F8" w14:paraId="5498F00F" w14:textId="77777777" w:rsidTr="007F40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vMerge/>
            <w:shd w:val="clear" w:color="auto" w:fill="FFFFFF" w:themeFill="background1"/>
          </w:tcPr>
          <w:p w14:paraId="31A43A43" w14:textId="77777777" w:rsidR="006B3FA4" w:rsidRPr="00AB53F8" w:rsidRDefault="006B3FA4" w:rsidP="00957B04"/>
        </w:tc>
        <w:tc>
          <w:tcPr>
            <w:tcW w:w="5956" w:type="dxa"/>
          </w:tcPr>
          <w:p w14:paraId="045BE626" w14:textId="5861A500" w:rsidR="006B3FA4" w:rsidRDefault="009C7829" w:rsidP="00EF7D11">
            <w:pPr>
              <w:cnfStyle w:val="000000100000" w:firstRow="0" w:lastRow="0" w:firstColumn="0" w:lastColumn="0" w:oddVBand="0" w:evenVBand="0" w:oddHBand="1" w:evenHBand="0" w:firstRowFirstColumn="0" w:firstRowLastColumn="0" w:lastRowFirstColumn="0" w:lastRowLastColumn="0"/>
              <w:rPr>
                <w:b/>
                <w:bCs/>
              </w:rPr>
            </w:pPr>
            <w:r w:rsidRPr="009C7829">
              <w:rPr>
                <w:b/>
                <w:bCs/>
              </w:rPr>
              <w:t xml:space="preserve">Pharmacist </w:t>
            </w:r>
            <w:r w:rsidR="006B3FA4" w:rsidRPr="001C34C9">
              <w:rPr>
                <w:b/>
                <w:bCs/>
              </w:rPr>
              <w:t>7:</w:t>
            </w:r>
            <w:r w:rsidR="006B3FA4">
              <w:t xml:space="preserve"> I think the tools needs clear r</w:t>
            </w:r>
            <w:r w:rsidR="006B3FA4" w:rsidRPr="00E63AA3">
              <w:t>isk categories</w:t>
            </w:r>
            <w:r w:rsidR="006B3FA4">
              <w:t xml:space="preserve"> like low, medium, or high risk and</w:t>
            </w:r>
            <w:r w:rsidR="006B3FA4" w:rsidRPr="00E63AA3">
              <w:t xml:space="preserve"> some guidance on what to do </w:t>
            </w:r>
            <w:r w:rsidR="006B3FA4">
              <w:t>next</w:t>
            </w:r>
            <w:r w:rsidR="006B3FA4" w:rsidRPr="00E63AA3">
              <w:t>. For example, we have set things we do when patients come in like work out creatinine clearance</w:t>
            </w:r>
            <w:r w:rsidR="006B3FA4">
              <w:t>. Based on the creatine clearance we know we must adjust medications to renal dosing. S</w:t>
            </w:r>
            <w:r w:rsidR="006B3FA4" w:rsidRPr="00E63AA3">
              <w:t>ome</w:t>
            </w:r>
            <w:r w:rsidR="006B3FA4">
              <w:t xml:space="preserve"> instruction</w:t>
            </w:r>
            <w:r w:rsidR="006B3FA4" w:rsidRPr="00E63AA3">
              <w:t xml:space="preserve"> like that for</w:t>
            </w:r>
            <w:r w:rsidR="006B3FA4">
              <w:t xml:space="preserve"> the</w:t>
            </w:r>
            <w:r w:rsidR="006B3FA4" w:rsidRPr="00E63AA3">
              <w:t xml:space="preserve"> PRIME </w:t>
            </w:r>
            <w:r w:rsidR="006B3FA4">
              <w:t xml:space="preserve">tool </w:t>
            </w:r>
            <w:r w:rsidR="006B3FA4" w:rsidRPr="00E63AA3">
              <w:t>would be useful</w:t>
            </w:r>
            <w:r w:rsidR="006B3FA4">
              <w:t xml:space="preserve">; </w:t>
            </w:r>
            <w:r w:rsidR="006B3FA4" w:rsidRPr="00E63AA3">
              <w:t>risk categories and guidance/recommendations on next steps.</w:t>
            </w:r>
          </w:p>
        </w:tc>
      </w:tr>
      <w:tr w:rsidR="008472A3" w:rsidRPr="00AB53F8" w14:paraId="458721A4" w14:textId="77777777" w:rsidTr="007F40FB">
        <w:tc>
          <w:tcPr>
            <w:cnfStyle w:val="001000000000" w:firstRow="0" w:lastRow="0" w:firstColumn="1" w:lastColumn="0" w:oddVBand="0" w:evenVBand="0" w:oddHBand="0" w:evenHBand="0" w:firstRowFirstColumn="0" w:firstRowLastColumn="0" w:lastRowFirstColumn="0" w:lastRowLastColumn="0"/>
            <w:tcW w:w="3111" w:type="dxa"/>
            <w:vMerge w:val="restart"/>
            <w:shd w:val="clear" w:color="auto" w:fill="DFEBF7"/>
          </w:tcPr>
          <w:p w14:paraId="7BCAF304" w14:textId="065A694B" w:rsidR="008472A3" w:rsidRPr="00AB53F8" w:rsidRDefault="008472A3" w:rsidP="00957B04">
            <w:r w:rsidRPr="00AB53F8">
              <w:rPr>
                <w:b w:val="0"/>
                <w:bCs w:val="0"/>
              </w:rPr>
              <w:t xml:space="preserve">Limitations of the risk </w:t>
            </w:r>
            <w:r w:rsidRPr="00AB53F8">
              <w:rPr>
                <w:b w:val="0"/>
                <w:bCs w:val="0"/>
              </w:rPr>
              <w:lastRenderedPageBreak/>
              <w:t>predictions tool</w:t>
            </w:r>
          </w:p>
        </w:tc>
        <w:tc>
          <w:tcPr>
            <w:tcW w:w="5956" w:type="dxa"/>
          </w:tcPr>
          <w:p w14:paraId="33D9CC80" w14:textId="6E0DA5D3" w:rsidR="008472A3" w:rsidRPr="00266395" w:rsidRDefault="009C7829" w:rsidP="00957B04">
            <w:pPr>
              <w:cnfStyle w:val="000000000000" w:firstRow="0" w:lastRow="0" w:firstColumn="0" w:lastColumn="0" w:oddVBand="0" w:evenVBand="0" w:oddHBand="0" w:evenHBand="0" w:firstRowFirstColumn="0" w:firstRowLastColumn="0" w:lastRowFirstColumn="0" w:lastRowLastColumn="0"/>
              <w:rPr>
                <w:b/>
                <w:bCs/>
              </w:rPr>
            </w:pPr>
            <w:r w:rsidRPr="009C7829">
              <w:rPr>
                <w:b/>
                <w:bCs/>
              </w:rPr>
              <w:lastRenderedPageBreak/>
              <w:t xml:space="preserve">Pharmacist </w:t>
            </w:r>
            <w:r w:rsidR="008472A3">
              <w:rPr>
                <w:b/>
                <w:bCs/>
              </w:rPr>
              <w:t xml:space="preserve">2: </w:t>
            </w:r>
            <w:r w:rsidR="008472A3" w:rsidRPr="0057418D">
              <w:t xml:space="preserve">One of </w:t>
            </w:r>
            <w:r w:rsidR="008472A3" w:rsidRPr="0057418D">
              <w:rPr>
                <w:color w:val="000000" w:themeColor="text1"/>
              </w:rPr>
              <w:t xml:space="preserve">the limitations of the PRIME tool is </w:t>
            </w:r>
            <w:r w:rsidR="008472A3" w:rsidRPr="0057418D">
              <w:rPr>
                <w:color w:val="000000" w:themeColor="text1"/>
              </w:rPr>
              <w:lastRenderedPageBreak/>
              <w:t>that is does not consider medication interactions which could be potentially harmful.</w:t>
            </w:r>
            <w:r w:rsidR="008472A3">
              <w:rPr>
                <w:b/>
                <w:bCs/>
                <w:color w:val="000000" w:themeColor="text1"/>
              </w:rPr>
              <w:t xml:space="preserve"> </w:t>
            </w:r>
            <w:r w:rsidR="008472A3" w:rsidRPr="0057418D">
              <w:rPr>
                <w:color w:val="000000" w:themeColor="text1"/>
              </w:rPr>
              <w:t xml:space="preserve">It is a bit strange the patient </w:t>
            </w:r>
            <w:r w:rsidR="008472A3">
              <w:rPr>
                <w:color w:val="000000" w:themeColor="text1"/>
              </w:rPr>
              <w:t xml:space="preserve">[referring to case study 3] </w:t>
            </w:r>
            <w:r w:rsidR="008472A3" w:rsidRPr="0057418D">
              <w:rPr>
                <w:color w:val="000000" w:themeColor="text1"/>
              </w:rPr>
              <w:t>is on apixaban and aspirin. That’s a potentially bad drug interaction there and the PRIME tool doesn’t score for that. I mean based on that alone I would say that the risk of this patient is higher than suggested by the PRIME tool.</w:t>
            </w:r>
          </w:p>
        </w:tc>
      </w:tr>
      <w:tr w:rsidR="008472A3" w:rsidRPr="00AB53F8" w14:paraId="29440AE6" w14:textId="596F2B7A" w:rsidTr="007F40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1" w:type="dxa"/>
            <w:vMerge/>
            <w:shd w:val="clear" w:color="auto" w:fill="DFEBF7"/>
          </w:tcPr>
          <w:p w14:paraId="29011309" w14:textId="0FE2AED9" w:rsidR="008472A3" w:rsidRPr="00AB53F8" w:rsidRDefault="008472A3" w:rsidP="00957B04">
            <w:pPr>
              <w:rPr>
                <w:b w:val="0"/>
                <w:bCs w:val="0"/>
              </w:rPr>
            </w:pPr>
          </w:p>
        </w:tc>
        <w:tc>
          <w:tcPr>
            <w:tcW w:w="5956" w:type="dxa"/>
          </w:tcPr>
          <w:p w14:paraId="18E3CB5A" w14:textId="30A39334" w:rsidR="008472A3" w:rsidRPr="00AB53F8" w:rsidRDefault="009C7829" w:rsidP="00957B04">
            <w:pPr>
              <w:cnfStyle w:val="000000100000" w:firstRow="0" w:lastRow="0" w:firstColumn="0" w:lastColumn="0" w:oddVBand="0" w:evenVBand="0" w:oddHBand="1" w:evenHBand="0" w:firstRowFirstColumn="0" w:firstRowLastColumn="0" w:lastRowFirstColumn="0" w:lastRowLastColumn="0"/>
            </w:pPr>
            <w:r w:rsidRPr="009C7829">
              <w:rPr>
                <w:b/>
                <w:bCs/>
              </w:rPr>
              <w:t xml:space="preserve">Pharmacist </w:t>
            </w:r>
            <w:r w:rsidR="008472A3">
              <w:rPr>
                <w:b/>
                <w:bCs/>
                <w:color w:val="000000" w:themeColor="text1"/>
              </w:rPr>
              <w:t xml:space="preserve">10: </w:t>
            </w:r>
            <w:r w:rsidR="008472A3" w:rsidRPr="00D05B3B">
              <w:rPr>
                <w:color w:val="000000" w:themeColor="text1"/>
              </w:rPr>
              <w:t xml:space="preserve">In many ways </w:t>
            </w:r>
            <w:r w:rsidR="008472A3">
              <w:rPr>
                <w:color w:val="000000" w:themeColor="text1"/>
              </w:rPr>
              <w:t>the [PRIME]</w:t>
            </w:r>
            <w:r w:rsidR="008472A3" w:rsidRPr="00D05B3B">
              <w:rPr>
                <w:color w:val="000000" w:themeColor="text1"/>
              </w:rPr>
              <w:t xml:space="preserve"> tool will help prioritise patients. The positive is that you can focus on the high-risk patients, but the downside is that even if the risk from medications is low, you pull attention away from people who may benefit from pharmacy input to optimize their medications.</w:t>
            </w:r>
          </w:p>
        </w:tc>
      </w:tr>
    </w:tbl>
    <w:p w14:paraId="6A943BF3" w14:textId="77777777" w:rsidR="00EB2472" w:rsidRDefault="00EB2472" w:rsidP="00A8047A">
      <w:pPr>
        <w:widowControl w:val="0"/>
        <w:autoSpaceDE w:val="0"/>
        <w:autoSpaceDN w:val="0"/>
        <w:adjustRightInd w:val="0"/>
        <w:spacing w:after="160"/>
      </w:pPr>
    </w:p>
    <w:sectPr w:rsidR="00EB2472" w:rsidSect="002A378D">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2CDFC" w14:textId="77777777" w:rsidR="00A60732" w:rsidRDefault="00A60732" w:rsidP="003E6991">
      <w:r>
        <w:separator/>
      </w:r>
    </w:p>
  </w:endnote>
  <w:endnote w:type="continuationSeparator" w:id="0">
    <w:p w14:paraId="4583B94B" w14:textId="77777777" w:rsidR="00A60732" w:rsidRDefault="00A60732" w:rsidP="003E6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82CB5" w14:textId="77777777" w:rsidR="00A60732" w:rsidRDefault="00A60732" w:rsidP="003E6991">
      <w:r>
        <w:separator/>
      </w:r>
    </w:p>
  </w:footnote>
  <w:footnote w:type="continuationSeparator" w:id="0">
    <w:p w14:paraId="08C53E9F" w14:textId="77777777" w:rsidR="00A60732" w:rsidRDefault="00A60732" w:rsidP="003E69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7000"/>
    <w:multiLevelType w:val="hybridMultilevel"/>
    <w:tmpl w:val="8E60A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350EB9"/>
    <w:multiLevelType w:val="hybridMultilevel"/>
    <w:tmpl w:val="8E60A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A94DB2"/>
    <w:multiLevelType w:val="hybridMultilevel"/>
    <w:tmpl w:val="CD2466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0A407D"/>
    <w:multiLevelType w:val="multilevel"/>
    <w:tmpl w:val="8FAAF8B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76A1CD1"/>
    <w:multiLevelType w:val="hybridMultilevel"/>
    <w:tmpl w:val="6E065E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8C520C1"/>
    <w:multiLevelType w:val="hybridMultilevel"/>
    <w:tmpl w:val="8E60A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24798C"/>
    <w:multiLevelType w:val="hybridMultilevel"/>
    <w:tmpl w:val="C02017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7249AD"/>
    <w:multiLevelType w:val="hybridMultilevel"/>
    <w:tmpl w:val="4392B5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79448C"/>
    <w:multiLevelType w:val="hybridMultilevel"/>
    <w:tmpl w:val="FAFAF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816A87"/>
    <w:multiLevelType w:val="hybridMultilevel"/>
    <w:tmpl w:val="8E60A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07738F"/>
    <w:multiLevelType w:val="hybridMultilevel"/>
    <w:tmpl w:val="1674D2B4"/>
    <w:lvl w:ilvl="0" w:tplc="4B28AD7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3F43BF"/>
    <w:multiLevelType w:val="hybridMultilevel"/>
    <w:tmpl w:val="3D8A4A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F0714F"/>
    <w:multiLevelType w:val="multilevel"/>
    <w:tmpl w:val="5C42EB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881A75"/>
    <w:multiLevelType w:val="hybridMultilevel"/>
    <w:tmpl w:val="DAAA32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82139D"/>
    <w:multiLevelType w:val="multilevel"/>
    <w:tmpl w:val="3D8A4AEA"/>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6694410"/>
    <w:multiLevelType w:val="hybridMultilevel"/>
    <w:tmpl w:val="BECC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7A740A"/>
    <w:multiLevelType w:val="hybridMultilevel"/>
    <w:tmpl w:val="27E25934"/>
    <w:lvl w:ilvl="0" w:tplc="8320FB4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935AA7"/>
    <w:multiLevelType w:val="hybridMultilevel"/>
    <w:tmpl w:val="05840F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0F307A8"/>
    <w:multiLevelType w:val="hybridMultilevel"/>
    <w:tmpl w:val="DDBCE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CD0DCA"/>
    <w:multiLevelType w:val="hybridMultilevel"/>
    <w:tmpl w:val="03506820"/>
    <w:lvl w:ilvl="0" w:tplc="81E2338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46F33B3"/>
    <w:multiLevelType w:val="hybridMultilevel"/>
    <w:tmpl w:val="130AD28E"/>
    <w:lvl w:ilvl="0" w:tplc="A62EDF16">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FA1275"/>
    <w:multiLevelType w:val="hybridMultilevel"/>
    <w:tmpl w:val="8AC88662"/>
    <w:lvl w:ilvl="0" w:tplc="4B28AD7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0F6FA5"/>
    <w:multiLevelType w:val="hybridMultilevel"/>
    <w:tmpl w:val="6D409ED4"/>
    <w:lvl w:ilvl="0" w:tplc="4B28AD7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203184"/>
    <w:multiLevelType w:val="hybridMultilevel"/>
    <w:tmpl w:val="8C0ABC4A"/>
    <w:lvl w:ilvl="0" w:tplc="3B4E9BC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7F5DD3"/>
    <w:multiLevelType w:val="hybridMultilevel"/>
    <w:tmpl w:val="61A0B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0D350C"/>
    <w:multiLevelType w:val="multilevel"/>
    <w:tmpl w:val="7F96F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941CED"/>
    <w:multiLevelType w:val="hybridMultilevel"/>
    <w:tmpl w:val="CD0E2D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5045C15"/>
    <w:multiLevelType w:val="hybridMultilevel"/>
    <w:tmpl w:val="8E60A0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DE0942"/>
    <w:multiLevelType w:val="hybridMultilevel"/>
    <w:tmpl w:val="AC84D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D1E474A"/>
    <w:multiLevelType w:val="hybridMultilevel"/>
    <w:tmpl w:val="50E6DD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5E3F50"/>
    <w:multiLevelType w:val="hybridMultilevel"/>
    <w:tmpl w:val="8E60A0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2DB69C0"/>
    <w:multiLevelType w:val="hybridMultilevel"/>
    <w:tmpl w:val="8E60A0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7047202"/>
    <w:multiLevelType w:val="hybridMultilevel"/>
    <w:tmpl w:val="4392B5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B4C2E41"/>
    <w:multiLevelType w:val="hybridMultilevel"/>
    <w:tmpl w:val="69C6456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CB43D19"/>
    <w:multiLevelType w:val="multilevel"/>
    <w:tmpl w:val="36B64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A41CEB"/>
    <w:multiLevelType w:val="hybridMultilevel"/>
    <w:tmpl w:val="27E27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E244645"/>
    <w:multiLevelType w:val="hybridMultilevel"/>
    <w:tmpl w:val="8E60A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E6C20C7"/>
    <w:multiLevelType w:val="hybridMultilevel"/>
    <w:tmpl w:val="31749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474983"/>
    <w:multiLevelType w:val="hybridMultilevel"/>
    <w:tmpl w:val="8070AE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52464D"/>
    <w:multiLevelType w:val="multilevel"/>
    <w:tmpl w:val="52B8CE9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B3F239D"/>
    <w:multiLevelType w:val="hybridMultilevel"/>
    <w:tmpl w:val="8E60A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D6E654A"/>
    <w:multiLevelType w:val="multilevel"/>
    <w:tmpl w:val="0F884C2A"/>
    <w:lvl w:ilvl="0">
      <w:start w:val="1"/>
      <w:numFmt w:val="lowerLetter"/>
      <w:lvlText w:val="%1."/>
      <w:lvlJc w:val="left"/>
      <w:pPr>
        <w:tabs>
          <w:tab w:val="num" w:pos="720"/>
        </w:tabs>
        <w:ind w:left="720" w:hanging="360"/>
      </w:pPr>
    </w:lvl>
    <w:lvl w:ilvl="1">
      <w:numFmt w:val="lowerRoman"/>
      <w:lvlText w:val="%2."/>
      <w:lvlJc w:val="righ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42" w15:restartNumberingAfterBreak="0">
    <w:nsid w:val="6F2C480D"/>
    <w:multiLevelType w:val="hybridMultilevel"/>
    <w:tmpl w:val="D0ECA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2E75464"/>
    <w:multiLevelType w:val="hybridMultilevel"/>
    <w:tmpl w:val="8E60A0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3E01907"/>
    <w:multiLevelType w:val="hybridMultilevel"/>
    <w:tmpl w:val="8E60A0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52D1634"/>
    <w:multiLevelType w:val="hybridMultilevel"/>
    <w:tmpl w:val="21040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B0429E"/>
    <w:multiLevelType w:val="hybridMultilevel"/>
    <w:tmpl w:val="AD169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751239C"/>
    <w:multiLevelType w:val="hybridMultilevel"/>
    <w:tmpl w:val="C02017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BD1560B"/>
    <w:multiLevelType w:val="hybridMultilevel"/>
    <w:tmpl w:val="420A0C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D033E1D"/>
    <w:multiLevelType w:val="hybridMultilevel"/>
    <w:tmpl w:val="3D8A4A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7193259">
    <w:abstractNumId w:val="26"/>
  </w:num>
  <w:num w:numId="2" w16cid:durableId="542406847">
    <w:abstractNumId w:val="8"/>
  </w:num>
  <w:num w:numId="3" w16cid:durableId="1276912583">
    <w:abstractNumId w:val="16"/>
  </w:num>
  <w:num w:numId="4" w16cid:durableId="1053312949">
    <w:abstractNumId w:val="22"/>
  </w:num>
  <w:num w:numId="5" w16cid:durableId="1487428689">
    <w:abstractNumId w:val="10"/>
  </w:num>
  <w:num w:numId="6" w16cid:durableId="1868986349">
    <w:abstractNumId w:val="21"/>
  </w:num>
  <w:num w:numId="7" w16cid:durableId="2139450697">
    <w:abstractNumId w:val="4"/>
  </w:num>
  <w:num w:numId="8" w16cid:durableId="181164942">
    <w:abstractNumId w:val="13"/>
  </w:num>
  <w:num w:numId="9" w16cid:durableId="1263609975">
    <w:abstractNumId w:val="24"/>
  </w:num>
  <w:num w:numId="10" w16cid:durableId="1496921982">
    <w:abstractNumId w:val="29"/>
  </w:num>
  <w:num w:numId="11" w16cid:durableId="1251087280">
    <w:abstractNumId w:val="43"/>
  </w:num>
  <w:num w:numId="12" w16cid:durableId="437288854">
    <w:abstractNumId w:val="30"/>
  </w:num>
  <w:num w:numId="13" w16cid:durableId="953827048">
    <w:abstractNumId w:val="18"/>
  </w:num>
  <w:num w:numId="14" w16cid:durableId="711273171">
    <w:abstractNumId w:val="17"/>
  </w:num>
  <w:num w:numId="15" w16cid:durableId="1915822020">
    <w:abstractNumId w:val="31"/>
  </w:num>
  <w:num w:numId="16" w16cid:durableId="112408042">
    <w:abstractNumId w:val="27"/>
  </w:num>
  <w:num w:numId="17" w16cid:durableId="738164315">
    <w:abstractNumId w:val="23"/>
  </w:num>
  <w:num w:numId="18" w16cid:durableId="288978542">
    <w:abstractNumId w:val="2"/>
  </w:num>
  <w:num w:numId="19" w16cid:durableId="436215849">
    <w:abstractNumId w:val="47"/>
  </w:num>
  <w:num w:numId="20" w16cid:durableId="1629047529">
    <w:abstractNumId w:val="42"/>
  </w:num>
  <w:num w:numId="21" w16cid:durableId="1855922263">
    <w:abstractNumId w:val="38"/>
  </w:num>
  <w:num w:numId="22" w16cid:durableId="660080640">
    <w:abstractNumId w:val="49"/>
  </w:num>
  <w:num w:numId="23" w16cid:durableId="484474244">
    <w:abstractNumId w:val="14"/>
  </w:num>
  <w:num w:numId="24" w16cid:durableId="184682395">
    <w:abstractNumId w:val="11"/>
  </w:num>
  <w:num w:numId="25" w16cid:durableId="1541699052">
    <w:abstractNumId w:val="7"/>
  </w:num>
  <w:num w:numId="26" w16cid:durableId="1740321712">
    <w:abstractNumId w:val="32"/>
  </w:num>
  <w:num w:numId="27" w16cid:durableId="137040305">
    <w:abstractNumId w:val="37"/>
  </w:num>
  <w:num w:numId="28" w16cid:durableId="553084023">
    <w:abstractNumId w:val="6"/>
  </w:num>
  <w:num w:numId="29" w16cid:durableId="971129823">
    <w:abstractNumId w:val="33"/>
  </w:num>
  <w:num w:numId="30" w16cid:durableId="1861242485">
    <w:abstractNumId w:val="28"/>
  </w:num>
  <w:num w:numId="31" w16cid:durableId="764880606">
    <w:abstractNumId w:val="36"/>
  </w:num>
  <w:num w:numId="32" w16cid:durableId="1287586555">
    <w:abstractNumId w:val="46"/>
  </w:num>
  <w:num w:numId="33" w16cid:durableId="1581871054">
    <w:abstractNumId w:val="25"/>
  </w:num>
  <w:num w:numId="34" w16cid:durableId="637880651">
    <w:abstractNumId w:val="19"/>
  </w:num>
  <w:num w:numId="35" w16cid:durableId="1803771736">
    <w:abstractNumId w:val="48"/>
  </w:num>
  <w:num w:numId="36" w16cid:durableId="1849054084">
    <w:abstractNumId w:val="20"/>
  </w:num>
  <w:num w:numId="37" w16cid:durableId="290017542">
    <w:abstractNumId w:val="0"/>
  </w:num>
  <w:num w:numId="38" w16cid:durableId="1575358690">
    <w:abstractNumId w:val="40"/>
  </w:num>
  <w:num w:numId="39" w16cid:durableId="965306835">
    <w:abstractNumId w:val="12"/>
  </w:num>
  <w:num w:numId="40" w16cid:durableId="1824465291">
    <w:abstractNumId w:val="3"/>
  </w:num>
  <w:num w:numId="41" w16cid:durableId="1888951785">
    <w:abstractNumId w:val="1"/>
  </w:num>
  <w:num w:numId="42" w16cid:durableId="2073117851">
    <w:abstractNumId w:val="9"/>
  </w:num>
  <w:num w:numId="43" w16cid:durableId="28606343">
    <w:abstractNumId w:val="44"/>
  </w:num>
  <w:num w:numId="44" w16cid:durableId="1453553836">
    <w:abstractNumId w:val="5"/>
  </w:num>
  <w:num w:numId="45" w16cid:durableId="1948542211">
    <w:abstractNumId w:val="41"/>
  </w:num>
  <w:num w:numId="46" w16cid:durableId="604462988">
    <w:abstractNumId w:val="15"/>
  </w:num>
  <w:num w:numId="47" w16cid:durableId="158036376">
    <w:abstractNumId w:val="35"/>
  </w:num>
  <w:num w:numId="48" w16cid:durableId="1312369889">
    <w:abstractNumId w:val="39"/>
  </w:num>
  <w:num w:numId="49" w16cid:durableId="780496005">
    <w:abstractNumId w:val="45"/>
  </w:num>
  <w:num w:numId="50" w16cid:durableId="10999828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3C62"/>
    <w:rsid w:val="0000087D"/>
    <w:rsid w:val="0000097D"/>
    <w:rsid w:val="000018FF"/>
    <w:rsid w:val="00002FB8"/>
    <w:rsid w:val="0000391D"/>
    <w:rsid w:val="00003FED"/>
    <w:rsid w:val="00005255"/>
    <w:rsid w:val="000063CC"/>
    <w:rsid w:val="0000688B"/>
    <w:rsid w:val="000068E9"/>
    <w:rsid w:val="000125B6"/>
    <w:rsid w:val="000125F8"/>
    <w:rsid w:val="0001293C"/>
    <w:rsid w:val="00012A15"/>
    <w:rsid w:val="00012D5F"/>
    <w:rsid w:val="00012DBF"/>
    <w:rsid w:val="00012EAB"/>
    <w:rsid w:val="000138BA"/>
    <w:rsid w:val="00014933"/>
    <w:rsid w:val="000151AD"/>
    <w:rsid w:val="0001617F"/>
    <w:rsid w:val="000166AB"/>
    <w:rsid w:val="00016F0F"/>
    <w:rsid w:val="000178CC"/>
    <w:rsid w:val="00017AAB"/>
    <w:rsid w:val="00017D01"/>
    <w:rsid w:val="00020E35"/>
    <w:rsid w:val="00021E26"/>
    <w:rsid w:val="00024593"/>
    <w:rsid w:val="00024D7B"/>
    <w:rsid w:val="0002567B"/>
    <w:rsid w:val="0002572D"/>
    <w:rsid w:val="00025B90"/>
    <w:rsid w:val="00025CE2"/>
    <w:rsid w:val="00026089"/>
    <w:rsid w:val="00026301"/>
    <w:rsid w:val="00026BB5"/>
    <w:rsid w:val="0003090A"/>
    <w:rsid w:val="00030B1B"/>
    <w:rsid w:val="00030D1F"/>
    <w:rsid w:val="00030D3D"/>
    <w:rsid w:val="0003213B"/>
    <w:rsid w:val="00032AF4"/>
    <w:rsid w:val="00034023"/>
    <w:rsid w:val="00034D36"/>
    <w:rsid w:val="00036518"/>
    <w:rsid w:val="000366B5"/>
    <w:rsid w:val="00040A37"/>
    <w:rsid w:val="00040E70"/>
    <w:rsid w:val="000438B7"/>
    <w:rsid w:val="00043A0D"/>
    <w:rsid w:val="00043A95"/>
    <w:rsid w:val="00045181"/>
    <w:rsid w:val="00045654"/>
    <w:rsid w:val="00045E83"/>
    <w:rsid w:val="00046A4F"/>
    <w:rsid w:val="00046E04"/>
    <w:rsid w:val="000477C3"/>
    <w:rsid w:val="00047F07"/>
    <w:rsid w:val="00047F27"/>
    <w:rsid w:val="00050280"/>
    <w:rsid w:val="00051413"/>
    <w:rsid w:val="00051C45"/>
    <w:rsid w:val="00052562"/>
    <w:rsid w:val="0005449E"/>
    <w:rsid w:val="000544AF"/>
    <w:rsid w:val="00055861"/>
    <w:rsid w:val="00055AC1"/>
    <w:rsid w:val="00057941"/>
    <w:rsid w:val="00057D9E"/>
    <w:rsid w:val="000601CC"/>
    <w:rsid w:val="000603A2"/>
    <w:rsid w:val="0006070B"/>
    <w:rsid w:val="00061193"/>
    <w:rsid w:val="00062823"/>
    <w:rsid w:val="00062EF7"/>
    <w:rsid w:val="00063D0D"/>
    <w:rsid w:val="000642E8"/>
    <w:rsid w:val="00064AC0"/>
    <w:rsid w:val="00064B3C"/>
    <w:rsid w:val="00065812"/>
    <w:rsid w:val="000678BB"/>
    <w:rsid w:val="000700FE"/>
    <w:rsid w:val="00070977"/>
    <w:rsid w:val="000716D7"/>
    <w:rsid w:val="0007409F"/>
    <w:rsid w:val="00074ECC"/>
    <w:rsid w:val="00074EF6"/>
    <w:rsid w:val="00076C6C"/>
    <w:rsid w:val="000817DF"/>
    <w:rsid w:val="00084C66"/>
    <w:rsid w:val="000860D8"/>
    <w:rsid w:val="000877A7"/>
    <w:rsid w:val="00087FAD"/>
    <w:rsid w:val="0009018B"/>
    <w:rsid w:val="00090718"/>
    <w:rsid w:val="00090C59"/>
    <w:rsid w:val="00091C7D"/>
    <w:rsid w:val="000927ED"/>
    <w:rsid w:val="000942C1"/>
    <w:rsid w:val="00094DE5"/>
    <w:rsid w:val="00096AA4"/>
    <w:rsid w:val="000A01FB"/>
    <w:rsid w:val="000A15D6"/>
    <w:rsid w:val="000A30F2"/>
    <w:rsid w:val="000A4383"/>
    <w:rsid w:val="000A5EC2"/>
    <w:rsid w:val="000A67B2"/>
    <w:rsid w:val="000B0DB8"/>
    <w:rsid w:val="000B2D80"/>
    <w:rsid w:val="000B3544"/>
    <w:rsid w:val="000B3AF2"/>
    <w:rsid w:val="000B40E3"/>
    <w:rsid w:val="000B51C3"/>
    <w:rsid w:val="000B5E76"/>
    <w:rsid w:val="000B79B4"/>
    <w:rsid w:val="000C0BAB"/>
    <w:rsid w:val="000C0CA0"/>
    <w:rsid w:val="000C29B5"/>
    <w:rsid w:val="000C3106"/>
    <w:rsid w:val="000C4111"/>
    <w:rsid w:val="000C51BE"/>
    <w:rsid w:val="000C60E0"/>
    <w:rsid w:val="000C7261"/>
    <w:rsid w:val="000C7FDB"/>
    <w:rsid w:val="000D0108"/>
    <w:rsid w:val="000D2B33"/>
    <w:rsid w:val="000D3E33"/>
    <w:rsid w:val="000D4705"/>
    <w:rsid w:val="000D4C20"/>
    <w:rsid w:val="000D4E6E"/>
    <w:rsid w:val="000D5476"/>
    <w:rsid w:val="000D6C45"/>
    <w:rsid w:val="000D7754"/>
    <w:rsid w:val="000E1268"/>
    <w:rsid w:val="000E128A"/>
    <w:rsid w:val="000E1F42"/>
    <w:rsid w:val="000E25F3"/>
    <w:rsid w:val="000E3AB7"/>
    <w:rsid w:val="000E4D6D"/>
    <w:rsid w:val="000E6118"/>
    <w:rsid w:val="000E797C"/>
    <w:rsid w:val="000E7AAE"/>
    <w:rsid w:val="000E7FDD"/>
    <w:rsid w:val="000F0261"/>
    <w:rsid w:val="000F03A6"/>
    <w:rsid w:val="000F078B"/>
    <w:rsid w:val="000F1611"/>
    <w:rsid w:val="000F1B04"/>
    <w:rsid w:val="000F1DAD"/>
    <w:rsid w:val="000F24AB"/>
    <w:rsid w:val="000F398B"/>
    <w:rsid w:val="000F3E62"/>
    <w:rsid w:val="000F4074"/>
    <w:rsid w:val="000F4E57"/>
    <w:rsid w:val="000F5E26"/>
    <w:rsid w:val="000F6B73"/>
    <w:rsid w:val="000F7484"/>
    <w:rsid w:val="00100814"/>
    <w:rsid w:val="0010197E"/>
    <w:rsid w:val="00102683"/>
    <w:rsid w:val="00102811"/>
    <w:rsid w:val="0010391B"/>
    <w:rsid w:val="00103934"/>
    <w:rsid w:val="00103D0A"/>
    <w:rsid w:val="0010416F"/>
    <w:rsid w:val="00105354"/>
    <w:rsid w:val="0010599F"/>
    <w:rsid w:val="001066A6"/>
    <w:rsid w:val="00106AE3"/>
    <w:rsid w:val="00106B62"/>
    <w:rsid w:val="00106C1F"/>
    <w:rsid w:val="00107248"/>
    <w:rsid w:val="0011034F"/>
    <w:rsid w:val="00111B5E"/>
    <w:rsid w:val="00111B84"/>
    <w:rsid w:val="001123CA"/>
    <w:rsid w:val="00113020"/>
    <w:rsid w:val="00113100"/>
    <w:rsid w:val="00115338"/>
    <w:rsid w:val="0011560E"/>
    <w:rsid w:val="00115FCA"/>
    <w:rsid w:val="00120B59"/>
    <w:rsid w:val="0012375F"/>
    <w:rsid w:val="00124731"/>
    <w:rsid w:val="001248A2"/>
    <w:rsid w:val="0012553F"/>
    <w:rsid w:val="00125D33"/>
    <w:rsid w:val="00125DB2"/>
    <w:rsid w:val="00125E0A"/>
    <w:rsid w:val="00126F52"/>
    <w:rsid w:val="00127246"/>
    <w:rsid w:val="00133025"/>
    <w:rsid w:val="001349ED"/>
    <w:rsid w:val="001351EE"/>
    <w:rsid w:val="00135DBB"/>
    <w:rsid w:val="00135F1C"/>
    <w:rsid w:val="00136A71"/>
    <w:rsid w:val="00136B2E"/>
    <w:rsid w:val="00140998"/>
    <w:rsid w:val="00140EBB"/>
    <w:rsid w:val="0014132E"/>
    <w:rsid w:val="00141C3F"/>
    <w:rsid w:val="00142883"/>
    <w:rsid w:val="00142CCD"/>
    <w:rsid w:val="00143CF7"/>
    <w:rsid w:val="00143DC6"/>
    <w:rsid w:val="0014422B"/>
    <w:rsid w:val="0014428E"/>
    <w:rsid w:val="00144362"/>
    <w:rsid w:val="00145730"/>
    <w:rsid w:val="00145760"/>
    <w:rsid w:val="001469CF"/>
    <w:rsid w:val="00146D42"/>
    <w:rsid w:val="001474DF"/>
    <w:rsid w:val="00147A8C"/>
    <w:rsid w:val="00147D7C"/>
    <w:rsid w:val="00150613"/>
    <w:rsid w:val="00152D30"/>
    <w:rsid w:val="00157510"/>
    <w:rsid w:val="00157A87"/>
    <w:rsid w:val="00160FA6"/>
    <w:rsid w:val="001623C9"/>
    <w:rsid w:val="00166D65"/>
    <w:rsid w:val="0017036E"/>
    <w:rsid w:val="00170406"/>
    <w:rsid w:val="00170CA8"/>
    <w:rsid w:val="00171108"/>
    <w:rsid w:val="00172512"/>
    <w:rsid w:val="00175575"/>
    <w:rsid w:val="001757B2"/>
    <w:rsid w:val="00175AD6"/>
    <w:rsid w:val="00175D44"/>
    <w:rsid w:val="00180B58"/>
    <w:rsid w:val="0018290D"/>
    <w:rsid w:val="00183D9D"/>
    <w:rsid w:val="00184F5E"/>
    <w:rsid w:val="0018662E"/>
    <w:rsid w:val="00186E42"/>
    <w:rsid w:val="001870CB"/>
    <w:rsid w:val="00187A0A"/>
    <w:rsid w:val="00187A83"/>
    <w:rsid w:val="0019216B"/>
    <w:rsid w:val="00192B83"/>
    <w:rsid w:val="00194E7F"/>
    <w:rsid w:val="00195F39"/>
    <w:rsid w:val="00197686"/>
    <w:rsid w:val="001A00FD"/>
    <w:rsid w:val="001A04AB"/>
    <w:rsid w:val="001A2C03"/>
    <w:rsid w:val="001A3BF9"/>
    <w:rsid w:val="001A3CF1"/>
    <w:rsid w:val="001A44C6"/>
    <w:rsid w:val="001A4C6E"/>
    <w:rsid w:val="001A50A3"/>
    <w:rsid w:val="001A7390"/>
    <w:rsid w:val="001B0F56"/>
    <w:rsid w:val="001B149E"/>
    <w:rsid w:val="001B26AC"/>
    <w:rsid w:val="001B3374"/>
    <w:rsid w:val="001B4069"/>
    <w:rsid w:val="001B568B"/>
    <w:rsid w:val="001B5714"/>
    <w:rsid w:val="001C00B3"/>
    <w:rsid w:val="001C02AE"/>
    <w:rsid w:val="001C0772"/>
    <w:rsid w:val="001C34C9"/>
    <w:rsid w:val="001C3550"/>
    <w:rsid w:val="001C377A"/>
    <w:rsid w:val="001C44B1"/>
    <w:rsid w:val="001C7AA2"/>
    <w:rsid w:val="001C7B60"/>
    <w:rsid w:val="001C7C43"/>
    <w:rsid w:val="001C7D35"/>
    <w:rsid w:val="001C7D4A"/>
    <w:rsid w:val="001D0A25"/>
    <w:rsid w:val="001D0C96"/>
    <w:rsid w:val="001D145D"/>
    <w:rsid w:val="001D2925"/>
    <w:rsid w:val="001D2FC0"/>
    <w:rsid w:val="001D5181"/>
    <w:rsid w:val="001D54E1"/>
    <w:rsid w:val="001D574E"/>
    <w:rsid w:val="001D5A62"/>
    <w:rsid w:val="001D5CC6"/>
    <w:rsid w:val="001D61B7"/>
    <w:rsid w:val="001D711C"/>
    <w:rsid w:val="001D7B01"/>
    <w:rsid w:val="001E1060"/>
    <w:rsid w:val="001E25E8"/>
    <w:rsid w:val="001E4BFE"/>
    <w:rsid w:val="001E670A"/>
    <w:rsid w:val="001E6AD2"/>
    <w:rsid w:val="001E7344"/>
    <w:rsid w:val="001F1D30"/>
    <w:rsid w:val="001F24BA"/>
    <w:rsid w:val="001F2AAD"/>
    <w:rsid w:val="001F2E4A"/>
    <w:rsid w:val="001F38D5"/>
    <w:rsid w:val="001F47AF"/>
    <w:rsid w:val="001F4877"/>
    <w:rsid w:val="001F563D"/>
    <w:rsid w:val="001F7AAD"/>
    <w:rsid w:val="0020198D"/>
    <w:rsid w:val="002021AF"/>
    <w:rsid w:val="00202A81"/>
    <w:rsid w:val="00202DA9"/>
    <w:rsid w:val="00204DCE"/>
    <w:rsid w:val="0020569B"/>
    <w:rsid w:val="00205FC2"/>
    <w:rsid w:val="0020606C"/>
    <w:rsid w:val="00206FF1"/>
    <w:rsid w:val="00207DE8"/>
    <w:rsid w:val="002118B1"/>
    <w:rsid w:val="00214AE3"/>
    <w:rsid w:val="00215206"/>
    <w:rsid w:val="002157CE"/>
    <w:rsid w:val="00215C31"/>
    <w:rsid w:val="00215C46"/>
    <w:rsid w:val="00215E0F"/>
    <w:rsid w:val="002178AF"/>
    <w:rsid w:val="00217CA0"/>
    <w:rsid w:val="00221209"/>
    <w:rsid w:val="00221AA5"/>
    <w:rsid w:val="002242B1"/>
    <w:rsid w:val="002258BD"/>
    <w:rsid w:val="00225B4D"/>
    <w:rsid w:val="00226DBF"/>
    <w:rsid w:val="00227327"/>
    <w:rsid w:val="00231803"/>
    <w:rsid w:val="002330AB"/>
    <w:rsid w:val="00233935"/>
    <w:rsid w:val="00233ADA"/>
    <w:rsid w:val="00236E09"/>
    <w:rsid w:val="0023739D"/>
    <w:rsid w:val="00237906"/>
    <w:rsid w:val="002403FD"/>
    <w:rsid w:val="0024045D"/>
    <w:rsid w:val="00240A62"/>
    <w:rsid w:val="00240AEF"/>
    <w:rsid w:val="00241471"/>
    <w:rsid w:val="00241572"/>
    <w:rsid w:val="002426D4"/>
    <w:rsid w:val="00242BA1"/>
    <w:rsid w:val="00242DC3"/>
    <w:rsid w:val="00245F75"/>
    <w:rsid w:val="00247229"/>
    <w:rsid w:val="002472B6"/>
    <w:rsid w:val="00247AF7"/>
    <w:rsid w:val="0025005C"/>
    <w:rsid w:val="002504F5"/>
    <w:rsid w:val="00250898"/>
    <w:rsid w:val="0025118B"/>
    <w:rsid w:val="002514A0"/>
    <w:rsid w:val="00251561"/>
    <w:rsid w:val="002539BF"/>
    <w:rsid w:val="00253EC3"/>
    <w:rsid w:val="0025408D"/>
    <w:rsid w:val="00254B75"/>
    <w:rsid w:val="002562B2"/>
    <w:rsid w:val="00264909"/>
    <w:rsid w:val="00265E32"/>
    <w:rsid w:val="00266395"/>
    <w:rsid w:val="00270401"/>
    <w:rsid w:val="002719F8"/>
    <w:rsid w:val="00273368"/>
    <w:rsid w:val="00273AB9"/>
    <w:rsid w:val="002748B0"/>
    <w:rsid w:val="00274A0E"/>
    <w:rsid w:val="00274F16"/>
    <w:rsid w:val="00275114"/>
    <w:rsid w:val="002752C8"/>
    <w:rsid w:val="00277246"/>
    <w:rsid w:val="00277431"/>
    <w:rsid w:val="00283A30"/>
    <w:rsid w:val="00283B79"/>
    <w:rsid w:val="00283BF2"/>
    <w:rsid w:val="00284BED"/>
    <w:rsid w:val="00285DC9"/>
    <w:rsid w:val="0029074F"/>
    <w:rsid w:val="00291091"/>
    <w:rsid w:val="00291314"/>
    <w:rsid w:val="002915CF"/>
    <w:rsid w:val="00291C75"/>
    <w:rsid w:val="002924D6"/>
    <w:rsid w:val="0029293F"/>
    <w:rsid w:val="00292F4F"/>
    <w:rsid w:val="00293AC9"/>
    <w:rsid w:val="00293B89"/>
    <w:rsid w:val="00294200"/>
    <w:rsid w:val="0029489F"/>
    <w:rsid w:val="00294CDA"/>
    <w:rsid w:val="00294EA1"/>
    <w:rsid w:val="0029503B"/>
    <w:rsid w:val="00295664"/>
    <w:rsid w:val="00295C0C"/>
    <w:rsid w:val="00296397"/>
    <w:rsid w:val="00297183"/>
    <w:rsid w:val="002A1293"/>
    <w:rsid w:val="002A14E6"/>
    <w:rsid w:val="002A16C1"/>
    <w:rsid w:val="002A1B63"/>
    <w:rsid w:val="002A2104"/>
    <w:rsid w:val="002A246F"/>
    <w:rsid w:val="002A263D"/>
    <w:rsid w:val="002A378D"/>
    <w:rsid w:val="002A416A"/>
    <w:rsid w:val="002A4FB3"/>
    <w:rsid w:val="002A5C7A"/>
    <w:rsid w:val="002A7027"/>
    <w:rsid w:val="002B114B"/>
    <w:rsid w:val="002B2F21"/>
    <w:rsid w:val="002B3897"/>
    <w:rsid w:val="002B398B"/>
    <w:rsid w:val="002B3C83"/>
    <w:rsid w:val="002B40F7"/>
    <w:rsid w:val="002B5D65"/>
    <w:rsid w:val="002B6014"/>
    <w:rsid w:val="002B6185"/>
    <w:rsid w:val="002B6548"/>
    <w:rsid w:val="002B6616"/>
    <w:rsid w:val="002B7254"/>
    <w:rsid w:val="002B7275"/>
    <w:rsid w:val="002B7C48"/>
    <w:rsid w:val="002C08C8"/>
    <w:rsid w:val="002C112B"/>
    <w:rsid w:val="002C130D"/>
    <w:rsid w:val="002C42AA"/>
    <w:rsid w:val="002C4E24"/>
    <w:rsid w:val="002C53A4"/>
    <w:rsid w:val="002D08A8"/>
    <w:rsid w:val="002D3296"/>
    <w:rsid w:val="002D4323"/>
    <w:rsid w:val="002D43F2"/>
    <w:rsid w:val="002D518C"/>
    <w:rsid w:val="002D544D"/>
    <w:rsid w:val="002D5CA9"/>
    <w:rsid w:val="002D5F78"/>
    <w:rsid w:val="002E0840"/>
    <w:rsid w:val="002E2357"/>
    <w:rsid w:val="002E244B"/>
    <w:rsid w:val="002E33E8"/>
    <w:rsid w:val="002E4213"/>
    <w:rsid w:val="002E5309"/>
    <w:rsid w:val="002E6CF8"/>
    <w:rsid w:val="002E799E"/>
    <w:rsid w:val="002E7C29"/>
    <w:rsid w:val="002F04CE"/>
    <w:rsid w:val="002F1AA2"/>
    <w:rsid w:val="002F251D"/>
    <w:rsid w:val="002F317A"/>
    <w:rsid w:val="002F3E16"/>
    <w:rsid w:val="002F4B19"/>
    <w:rsid w:val="002F51B0"/>
    <w:rsid w:val="002F5CF4"/>
    <w:rsid w:val="002F5DDE"/>
    <w:rsid w:val="002F6792"/>
    <w:rsid w:val="002F67BB"/>
    <w:rsid w:val="002F694D"/>
    <w:rsid w:val="002F722F"/>
    <w:rsid w:val="002F7EE2"/>
    <w:rsid w:val="00302126"/>
    <w:rsid w:val="00302295"/>
    <w:rsid w:val="003024C7"/>
    <w:rsid w:val="00302987"/>
    <w:rsid w:val="003035AC"/>
    <w:rsid w:val="00303B27"/>
    <w:rsid w:val="00305B6C"/>
    <w:rsid w:val="003061AF"/>
    <w:rsid w:val="00307698"/>
    <w:rsid w:val="00311020"/>
    <w:rsid w:val="003136E9"/>
    <w:rsid w:val="0031392B"/>
    <w:rsid w:val="003151C9"/>
    <w:rsid w:val="00315430"/>
    <w:rsid w:val="00315721"/>
    <w:rsid w:val="00315A04"/>
    <w:rsid w:val="00315E1A"/>
    <w:rsid w:val="00316007"/>
    <w:rsid w:val="003164F9"/>
    <w:rsid w:val="0031776C"/>
    <w:rsid w:val="003177E3"/>
    <w:rsid w:val="00320157"/>
    <w:rsid w:val="00321777"/>
    <w:rsid w:val="00321AC6"/>
    <w:rsid w:val="00321DA0"/>
    <w:rsid w:val="00322143"/>
    <w:rsid w:val="00322630"/>
    <w:rsid w:val="0032281B"/>
    <w:rsid w:val="00322B02"/>
    <w:rsid w:val="00322B17"/>
    <w:rsid w:val="0032370C"/>
    <w:rsid w:val="0032476A"/>
    <w:rsid w:val="00325CBB"/>
    <w:rsid w:val="00326689"/>
    <w:rsid w:val="00331EEC"/>
    <w:rsid w:val="003325A6"/>
    <w:rsid w:val="00332D64"/>
    <w:rsid w:val="003332CC"/>
    <w:rsid w:val="00333951"/>
    <w:rsid w:val="00333A57"/>
    <w:rsid w:val="003348F1"/>
    <w:rsid w:val="00335004"/>
    <w:rsid w:val="003351EE"/>
    <w:rsid w:val="00335833"/>
    <w:rsid w:val="003401D6"/>
    <w:rsid w:val="0034036F"/>
    <w:rsid w:val="00340E5C"/>
    <w:rsid w:val="00341F98"/>
    <w:rsid w:val="00343699"/>
    <w:rsid w:val="003438C0"/>
    <w:rsid w:val="00343F1A"/>
    <w:rsid w:val="003452F2"/>
    <w:rsid w:val="00346D06"/>
    <w:rsid w:val="003470B9"/>
    <w:rsid w:val="00347430"/>
    <w:rsid w:val="00347BC1"/>
    <w:rsid w:val="003502D2"/>
    <w:rsid w:val="00350F1B"/>
    <w:rsid w:val="00351361"/>
    <w:rsid w:val="0035152B"/>
    <w:rsid w:val="00351E6A"/>
    <w:rsid w:val="00352653"/>
    <w:rsid w:val="003531CB"/>
    <w:rsid w:val="003533B0"/>
    <w:rsid w:val="00353D6E"/>
    <w:rsid w:val="003546AC"/>
    <w:rsid w:val="00354768"/>
    <w:rsid w:val="003547AA"/>
    <w:rsid w:val="00355EE8"/>
    <w:rsid w:val="003561BF"/>
    <w:rsid w:val="00356862"/>
    <w:rsid w:val="00360138"/>
    <w:rsid w:val="003602DD"/>
    <w:rsid w:val="00360C89"/>
    <w:rsid w:val="00362EB5"/>
    <w:rsid w:val="00363032"/>
    <w:rsid w:val="0036552E"/>
    <w:rsid w:val="00365536"/>
    <w:rsid w:val="00365A6E"/>
    <w:rsid w:val="00365C4F"/>
    <w:rsid w:val="003675DE"/>
    <w:rsid w:val="003700AA"/>
    <w:rsid w:val="00372BA4"/>
    <w:rsid w:val="003731C8"/>
    <w:rsid w:val="0037396E"/>
    <w:rsid w:val="00374F3C"/>
    <w:rsid w:val="00375725"/>
    <w:rsid w:val="00376B8E"/>
    <w:rsid w:val="00377E81"/>
    <w:rsid w:val="00377FF1"/>
    <w:rsid w:val="00382418"/>
    <w:rsid w:val="003835EC"/>
    <w:rsid w:val="00383A90"/>
    <w:rsid w:val="0038420B"/>
    <w:rsid w:val="0038434C"/>
    <w:rsid w:val="00384663"/>
    <w:rsid w:val="00385609"/>
    <w:rsid w:val="003860CF"/>
    <w:rsid w:val="003868C7"/>
    <w:rsid w:val="003873EC"/>
    <w:rsid w:val="00387DBB"/>
    <w:rsid w:val="00387DFE"/>
    <w:rsid w:val="003905E8"/>
    <w:rsid w:val="00390F94"/>
    <w:rsid w:val="00391662"/>
    <w:rsid w:val="00391DA6"/>
    <w:rsid w:val="00393614"/>
    <w:rsid w:val="00393EC4"/>
    <w:rsid w:val="00394AC5"/>
    <w:rsid w:val="0039576F"/>
    <w:rsid w:val="00395AFE"/>
    <w:rsid w:val="0039671B"/>
    <w:rsid w:val="0039786A"/>
    <w:rsid w:val="003979C7"/>
    <w:rsid w:val="003A202A"/>
    <w:rsid w:val="003A27D9"/>
    <w:rsid w:val="003A28CB"/>
    <w:rsid w:val="003A470B"/>
    <w:rsid w:val="003A5F68"/>
    <w:rsid w:val="003A6338"/>
    <w:rsid w:val="003A69DF"/>
    <w:rsid w:val="003B2218"/>
    <w:rsid w:val="003B2361"/>
    <w:rsid w:val="003B4F0A"/>
    <w:rsid w:val="003B512B"/>
    <w:rsid w:val="003B5B46"/>
    <w:rsid w:val="003B7B34"/>
    <w:rsid w:val="003C0203"/>
    <w:rsid w:val="003C0D30"/>
    <w:rsid w:val="003C154D"/>
    <w:rsid w:val="003C1B6C"/>
    <w:rsid w:val="003C326D"/>
    <w:rsid w:val="003C3938"/>
    <w:rsid w:val="003C4138"/>
    <w:rsid w:val="003C6403"/>
    <w:rsid w:val="003C6967"/>
    <w:rsid w:val="003C735F"/>
    <w:rsid w:val="003D1242"/>
    <w:rsid w:val="003D1940"/>
    <w:rsid w:val="003D1ACB"/>
    <w:rsid w:val="003D3C3B"/>
    <w:rsid w:val="003D3EBE"/>
    <w:rsid w:val="003D4B37"/>
    <w:rsid w:val="003D60CA"/>
    <w:rsid w:val="003D6644"/>
    <w:rsid w:val="003D67A9"/>
    <w:rsid w:val="003D6AB7"/>
    <w:rsid w:val="003E0979"/>
    <w:rsid w:val="003E0DB8"/>
    <w:rsid w:val="003E0FC5"/>
    <w:rsid w:val="003E2EDE"/>
    <w:rsid w:val="003E3A5D"/>
    <w:rsid w:val="003E6786"/>
    <w:rsid w:val="003E6991"/>
    <w:rsid w:val="003E6C86"/>
    <w:rsid w:val="003E7018"/>
    <w:rsid w:val="003E7A88"/>
    <w:rsid w:val="003F0311"/>
    <w:rsid w:val="003F0442"/>
    <w:rsid w:val="003F0D58"/>
    <w:rsid w:val="003F17A3"/>
    <w:rsid w:val="003F1D57"/>
    <w:rsid w:val="003F22FA"/>
    <w:rsid w:val="003F2DD9"/>
    <w:rsid w:val="003F3887"/>
    <w:rsid w:val="003F4028"/>
    <w:rsid w:val="003F4E1B"/>
    <w:rsid w:val="003F50B7"/>
    <w:rsid w:val="003F6D0F"/>
    <w:rsid w:val="003F70DE"/>
    <w:rsid w:val="003F74E9"/>
    <w:rsid w:val="00403BD5"/>
    <w:rsid w:val="00404646"/>
    <w:rsid w:val="00404C3D"/>
    <w:rsid w:val="00405CD4"/>
    <w:rsid w:val="00406591"/>
    <w:rsid w:val="004077D4"/>
    <w:rsid w:val="00407E54"/>
    <w:rsid w:val="004101AB"/>
    <w:rsid w:val="00410477"/>
    <w:rsid w:val="00410BAB"/>
    <w:rsid w:val="00410BBB"/>
    <w:rsid w:val="00411568"/>
    <w:rsid w:val="004119A3"/>
    <w:rsid w:val="00412095"/>
    <w:rsid w:val="004126F8"/>
    <w:rsid w:val="00412700"/>
    <w:rsid w:val="004137EA"/>
    <w:rsid w:val="004144EE"/>
    <w:rsid w:val="00414E24"/>
    <w:rsid w:val="004154CA"/>
    <w:rsid w:val="00415BF1"/>
    <w:rsid w:val="004163F5"/>
    <w:rsid w:val="004177CF"/>
    <w:rsid w:val="00417E3A"/>
    <w:rsid w:val="004206F2"/>
    <w:rsid w:val="00422518"/>
    <w:rsid w:val="00423049"/>
    <w:rsid w:val="0042306E"/>
    <w:rsid w:val="00423166"/>
    <w:rsid w:val="0042327B"/>
    <w:rsid w:val="004232F8"/>
    <w:rsid w:val="00423544"/>
    <w:rsid w:val="00424F10"/>
    <w:rsid w:val="00426847"/>
    <w:rsid w:val="004277A7"/>
    <w:rsid w:val="00427B97"/>
    <w:rsid w:val="00430551"/>
    <w:rsid w:val="004349BC"/>
    <w:rsid w:val="00435632"/>
    <w:rsid w:val="004360A4"/>
    <w:rsid w:val="00440ADD"/>
    <w:rsid w:val="0044128A"/>
    <w:rsid w:val="00442DF8"/>
    <w:rsid w:val="00443809"/>
    <w:rsid w:val="00443903"/>
    <w:rsid w:val="00443A92"/>
    <w:rsid w:val="00443EE6"/>
    <w:rsid w:val="00445F82"/>
    <w:rsid w:val="00446237"/>
    <w:rsid w:val="00447DC0"/>
    <w:rsid w:val="0045037C"/>
    <w:rsid w:val="004516BD"/>
    <w:rsid w:val="00453579"/>
    <w:rsid w:val="00453E7B"/>
    <w:rsid w:val="004543AC"/>
    <w:rsid w:val="00456E04"/>
    <w:rsid w:val="00460653"/>
    <w:rsid w:val="00460C3D"/>
    <w:rsid w:val="00460CE5"/>
    <w:rsid w:val="00461ED1"/>
    <w:rsid w:val="00462588"/>
    <w:rsid w:val="004629BA"/>
    <w:rsid w:val="00462AB9"/>
    <w:rsid w:val="0046406F"/>
    <w:rsid w:val="004645E0"/>
    <w:rsid w:val="00464F6F"/>
    <w:rsid w:val="00465B16"/>
    <w:rsid w:val="0046738B"/>
    <w:rsid w:val="004705DA"/>
    <w:rsid w:val="004713F4"/>
    <w:rsid w:val="004715D3"/>
    <w:rsid w:val="00471DDE"/>
    <w:rsid w:val="0047386C"/>
    <w:rsid w:val="00474389"/>
    <w:rsid w:val="00474C18"/>
    <w:rsid w:val="00475507"/>
    <w:rsid w:val="00475A15"/>
    <w:rsid w:val="004767C5"/>
    <w:rsid w:val="0047771D"/>
    <w:rsid w:val="0047776A"/>
    <w:rsid w:val="00480C37"/>
    <w:rsid w:val="00480F15"/>
    <w:rsid w:val="004814E8"/>
    <w:rsid w:val="00482148"/>
    <w:rsid w:val="004826AE"/>
    <w:rsid w:val="00482A3F"/>
    <w:rsid w:val="00483976"/>
    <w:rsid w:val="00484322"/>
    <w:rsid w:val="00484B91"/>
    <w:rsid w:val="004855F0"/>
    <w:rsid w:val="00486090"/>
    <w:rsid w:val="004861CF"/>
    <w:rsid w:val="00486FC1"/>
    <w:rsid w:val="004904D0"/>
    <w:rsid w:val="004904FE"/>
    <w:rsid w:val="0049161A"/>
    <w:rsid w:val="0049286A"/>
    <w:rsid w:val="0049324F"/>
    <w:rsid w:val="00494344"/>
    <w:rsid w:val="0049567F"/>
    <w:rsid w:val="004972F5"/>
    <w:rsid w:val="004A16A0"/>
    <w:rsid w:val="004A1F8D"/>
    <w:rsid w:val="004A3127"/>
    <w:rsid w:val="004A340E"/>
    <w:rsid w:val="004A3C62"/>
    <w:rsid w:val="004A5216"/>
    <w:rsid w:val="004A5F1C"/>
    <w:rsid w:val="004A6253"/>
    <w:rsid w:val="004A704E"/>
    <w:rsid w:val="004A7EC3"/>
    <w:rsid w:val="004B004B"/>
    <w:rsid w:val="004B15FA"/>
    <w:rsid w:val="004B20AE"/>
    <w:rsid w:val="004B2C22"/>
    <w:rsid w:val="004B3D96"/>
    <w:rsid w:val="004B5BDC"/>
    <w:rsid w:val="004B7C57"/>
    <w:rsid w:val="004C05BC"/>
    <w:rsid w:val="004C079B"/>
    <w:rsid w:val="004C0FC2"/>
    <w:rsid w:val="004C15C9"/>
    <w:rsid w:val="004C25EE"/>
    <w:rsid w:val="004C2782"/>
    <w:rsid w:val="004C2D60"/>
    <w:rsid w:val="004C42AE"/>
    <w:rsid w:val="004C5EBA"/>
    <w:rsid w:val="004C64E0"/>
    <w:rsid w:val="004D0B1E"/>
    <w:rsid w:val="004D0B36"/>
    <w:rsid w:val="004D199F"/>
    <w:rsid w:val="004D1EDA"/>
    <w:rsid w:val="004D25F0"/>
    <w:rsid w:val="004D2864"/>
    <w:rsid w:val="004D2972"/>
    <w:rsid w:val="004D2B6E"/>
    <w:rsid w:val="004D3F87"/>
    <w:rsid w:val="004D48DA"/>
    <w:rsid w:val="004D49E9"/>
    <w:rsid w:val="004D4CA5"/>
    <w:rsid w:val="004D6582"/>
    <w:rsid w:val="004D795E"/>
    <w:rsid w:val="004D7DBB"/>
    <w:rsid w:val="004E176D"/>
    <w:rsid w:val="004E29E5"/>
    <w:rsid w:val="004E2CBF"/>
    <w:rsid w:val="004E3063"/>
    <w:rsid w:val="004E38E9"/>
    <w:rsid w:val="004E3A99"/>
    <w:rsid w:val="004E3ECF"/>
    <w:rsid w:val="004E408C"/>
    <w:rsid w:val="004E48D6"/>
    <w:rsid w:val="004E58B5"/>
    <w:rsid w:val="004E6401"/>
    <w:rsid w:val="004E7972"/>
    <w:rsid w:val="004F1574"/>
    <w:rsid w:val="004F202E"/>
    <w:rsid w:val="004F2231"/>
    <w:rsid w:val="004F26D6"/>
    <w:rsid w:val="004F3079"/>
    <w:rsid w:val="004F3C56"/>
    <w:rsid w:val="004F47C3"/>
    <w:rsid w:val="004F6408"/>
    <w:rsid w:val="004F6DDA"/>
    <w:rsid w:val="0050026E"/>
    <w:rsid w:val="00500C17"/>
    <w:rsid w:val="00500E06"/>
    <w:rsid w:val="00502EA3"/>
    <w:rsid w:val="005041D6"/>
    <w:rsid w:val="00505190"/>
    <w:rsid w:val="00510BCE"/>
    <w:rsid w:val="00510C1D"/>
    <w:rsid w:val="0051249A"/>
    <w:rsid w:val="00513A73"/>
    <w:rsid w:val="00514D93"/>
    <w:rsid w:val="0051727B"/>
    <w:rsid w:val="00520B12"/>
    <w:rsid w:val="00520EFB"/>
    <w:rsid w:val="00521DAF"/>
    <w:rsid w:val="00522C83"/>
    <w:rsid w:val="00522E96"/>
    <w:rsid w:val="00523523"/>
    <w:rsid w:val="00524160"/>
    <w:rsid w:val="00526275"/>
    <w:rsid w:val="00526E55"/>
    <w:rsid w:val="0052700A"/>
    <w:rsid w:val="005301E0"/>
    <w:rsid w:val="00531E21"/>
    <w:rsid w:val="00532059"/>
    <w:rsid w:val="00533E93"/>
    <w:rsid w:val="00534031"/>
    <w:rsid w:val="00535E8B"/>
    <w:rsid w:val="0053756F"/>
    <w:rsid w:val="00540CB6"/>
    <w:rsid w:val="00541A45"/>
    <w:rsid w:val="005428D0"/>
    <w:rsid w:val="00542BC3"/>
    <w:rsid w:val="00544A2F"/>
    <w:rsid w:val="00544E9B"/>
    <w:rsid w:val="00545CF6"/>
    <w:rsid w:val="00546040"/>
    <w:rsid w:val="0054633A"/>
    <w:rsid w:val="00547E88"/>
    <w:rsid w:val="0055109D"/>
    <w:rsid w:val="00551235"/>
    <w:rsid w:val="0055289D"/>
    <w:rsid w:val="005532AE"/>
    <w:rsid w:val="00553968"/>
    <w:rsid w:val="00553A57"/>
    <w:rsid w:val="00553A81"/>
    <w:rsid w:val="00553D11"/>
    <w:rsid w:val="00553FA8"/>
    <w:rsid w:val="00554130"/>
    <w:rsid w:val="00555C03"/>
    <w:rsid w:val="005563AB"/>
    <w:rsid w:val="005569EC"/>
    <w:rsid w:val="00560307"/>
    <w:rsid w:val="00560B2E"/>
    <w:rsid w:val="00560C2A"/>
    <w:rsid w:val="00561420"/>
    <w:rsid w:val="00561620"/>
    <w:rsid w:val="00564ADD"/>
    <w:rsid w:val="005654DA"/>
    <w:rsid w:val="005671A3"/>
    <w:rsid w:val="00570053"/>
    <w:rsid w:val="00570627"/>
    <w:rsid w:val="005706ED"/>
    <w:rsid w:val="005708BE"/>
    <w:rsid w:val="005712EA"/>
    <w:rsid w:val="00571559"/>
    <w:rsid w:val="0057195B"/>
    <w:rsid w:val="005727C2"/>
    <w:rsid w:val="005730E4"/>
    <w:rsid w:val="005733B4"/>
    <w:rsid w:val="0057418D"/>
    <w:rsid w:val="00574A79"/>
    <w:rsid w:val="0057586F"/>
    <w:rsid w:val="00575E86"/>
    <w:rsid w:val="00575EE7"/>
    <w:rsid w:val="005773DD"/>
    <w:rsid w:val="00577751"/>
    <w:rsid w:val="00577FE9"/>
    <w:rsid w:val="0058153B"/>
    <w:rsid w:val="00582A7B"/>
    <w:rsid w:val="00583FC8"/>
    <w:rsid w:val="00584CB3"/>
    <w:rsid w:val="00585285"/>
    <w:rsid w:val="00585981"/>
    <w:rsid w:val="00585A46"/>
    <w:rsid w:val="0058655E"/>
    <w:rsid w:val="00586A0A"/>
    <w:rsid w:val="005878A8"/>
    <w:rsid w:val="00587CB6"/>
    <w:rsid w:val="00587EB6"/>
    <w:rsid w:val="00590B65"/>
    <w:rsid w:val="00595259"/>
    <w:rsid w:val="005965FD"/>
    <w:rsid w:val="00596DFE"/>
    <w:rsid w:val="005A16CD"/>
    <w:rsid w:val="005A44D2"/>
    <w:rsid w:val="005A4516"/>
    <w:rsid w:val="005A4B07"/>
    <w:rsid w:val="005A66A0"/>
    <w:rsid w:val="005A7D39"/>
    <w:rsid w:val="005B028C"/>
    <w:rsid w:val="005B1307"/>
    <w:rsid w:val="005B1A3A"/>
    <w:rsid w:val="005B1C19"/>
    <w:rsid w:val="005B23BF"/>
    <w:rsid w:val="005B2970"/>
    <w:rsid w:val="005B3782"/>
    <w:rsid w:val="005B431B"/>
    <w:rsid w:val="005B4514"/>
    <w:rsid w:val="005B6005"/>
    <w:rsid w:val="005B6470"/>
    <w:rsid w:val="005C1CEE"/>
    <w:rsid w:val="005C1E81"/>
    <w:rsid w:val="005C27FB"/>
    <w:rsid w:val="005C2C5C"/>
    <w:rsid w:val="005C315C"/>
    <w:rsid w:val="005C3566"/>
    <w:rsid w:val="005C36ED"/>
    <w:rsid w:val="005C4A0C"/>
    <w:rsid w:val="005C6DC4"/>
    <w:rsid w:val="005D078C"/>
    <w:rsid w:val="005D0963"/>
    <w:rsid w:val="005D1BC2"/>
    <w:rsid w:val="005D1DD0"/>
    <w:rsid w:val="005D25EC"/>
    <w:rsid w:val="005D2AA9"/>
    <w:rsid w:val="005D3A39"/>
    <w:rsid w:val="005D44EF"/>
    <w:rsid w:val="005D6303"/>
    <w:rsid w:val="005D6D8D"/>
    <w:rsid w:val="005D7031"/>
    <w:rsid w:val="005D7737"/>
    <w:rsid w:val="005E105F"/>
    <w:rsid w:val="005E29F5"/>
    <w:rsid w:val="005E2B65"/>
    <w:rsid w:val="005E604C"/>
    <w:rsid w:val="005E62FE"/>
    <w:rsid w:val="005E6CDB"/>
    <w:rsid w:val="005E7B45"/>
    <w:rsid w:val="005F05A9"/>
    <w:rsid w:val="005F10A6"/>
    <w:rsid w:val="005F2CE6"/>
    <w:rsid w:val="005F5392"/>
    <w:rsid w:val="005F691F"/>
    <w:rsid w:val="005F788E"/>
    <w:rsid w:val="005F7D45"/>
    <w:rsid w:val="005F7E47"/>
    <w:rsid w:val="006001E5"/>
    <w:rsid w:val="00600F40"/>
    <w:rsid w:val="0060155F"/>
    <w:rsid w:val="00602868"/>
    <w:rsid w:val="006031AD"/>
    <w:rsid w:val="006038C1"/>
    <w:rsid w:val="006044A6"/>
    <w:rsid w:val="006044C0"/>
    <w:rsid w:val="00604B97"/>
    <w:rsid w:val="00605A2B"/>
    <w:rsid w:val="00607E2B"/>
    <w:rsid w:val="00610D55"/>
    <w:rsid w:val="006115CF"/>
    <w:rsid w:val="00611673"/>
    <w:rsid w:val="0061283D"/>
    <w:rsid w:val="00613FE0"/>
    <w:rsid w:val="0061488B"/>
    <w:rsid w:val="006229A9"/>
    <w:rsid w:val="006246A9"/>
    <w:rsid w:val="00625EB5"/>
    <w:rsid w:val="006260F2"/>
    <w:rsid w:val="006266A9"/>
    <w:rsid w:val="00626758"/>
    <w:rsid w:val="006278A7"/>
    <w:rsid w:val="0062793E"/>
    <w:rsid w:val="00630664"/>
    <w:rsid w:val="0063071A"/>
    <w:rsid w:val="00630BA4"/>
    <w:rsid w:val="0063122E"/>
    <w:rsid w:val="00633643"/>
    <w:rsid w:val="006340B3"/>
    <w:rsid w:val="00634759"/>
    <w:rsid w:val="0063579A"/>
    <w:rsid w:val="00636DFB"/>
    <w:rsid w:val="00636F5C"/>
    <w:rsid w:val="00637326"/>
    <w:rsid w:val="006405C4"/>
    <w:rsid w:val="00641AE2"/>
    <w:rsid w:val="00641E55"/>
    <w:rsid w:val="00642C2D"/>
    <w:rsid w:val="00643218"/>
    <w:rsid w:val="006435E8"/>
    <w:rsid w:val="00643686"/>
    <w:rsid w:val="00645D13"/>
    <w:rsid w:val="006462CB"/>
    <w:rsid w:val="00650AE0"/>
    <w:rsid w:val="00650F4A"/>
    <w:rsid w:val="00651396"/>
    <w:rsid w:val="006515E8"/>
    <w:rsid w:val="00652186"/>
    <w:rsid w:val="006534D5"/>
    <w:rsid w:val="00654746"/>
    <w:rsid w:val="00654960"/>
    <w:rsid w:val="00655D37"/>
    <w:rsid w:val="00657F9B"/>
    <w:rsid w:val="0066005F"/>
    <w:rsid w:val="0066041A"/>
    <w:rsid w:val="00660599"/>
    <w:rsid w:val="00662EB7"/>
    <w:rsid w:val="0066363B"/>
    <w:rsid w:val="00664D77"/>
    <w:rsid w:val="0066566D"/>
    <w:rsid w:val="0066593C"/>
    <w:rsid w:val="00665999"/>
    <w:rsid w:val="00665ACB"/>
    <w:rsid w:val="006664E2"/>
    <w:rsid w:val="00670076"/>
    <w:rsid w:val="006705A4"/>
    <w:rsid w:val="00670BC7"/>
    <w:rsid w:val="0067191F"/>
    <w:rsid w:val="00671F03"/>
    <w:rsid w:val="006721F1"/>
    <w:rsid w:val="0067234A"/>
    <w:rsid w:val="00672EF7"/>
    <w:rsid w:val="00674149"/>
    <w:rsid w:val="0067592E"/>
    <w:rsid w:val="00675E2A"/>
    <w:rsid w:val="00675EA4"/>
    <w:rsid w:val="00675F99"/>
    <w:rsid w:val="00676274"/>
    <w:rsid w:val="00676A75"/>
    <w:rsid w:val="00677D68"/>
    <w:rsid w:val="00680B05"/>
    <w:rsid w:val="00683035"/>
    <w:rsid w:val="00683A43"/>
    <w:rsid w:val="00683B1A"/>
    <w:rsid w:val="00685B8E"/>
    <w:rsid w:val="00685BB6"/>
    <w:rsid w:val="006861C6"/>
    <w:rsid w:val="006871E7"/>
    <w:rsid w:val="006903ED"/>
    <w:rsid w:val="00690D55"/>
    <w:rsid w:val="006922DF"/>
    <w:rsid w:val="00695070"/>
    <w:rsid w:val="0069582A"/>
    <w:rsid w:val="0069585C"/>
    <w:rsid w:val="0069708B"/>
    <w:rsid w:val="0069711D"/>
    <w:rsid w:val="006A0BA0"/>
    <w:rsid w:val="006A1265"/>
    <w:rsid w:val="006A21BC"/>
    <w:rsid w:val="006A298B"/>
    <w:rsid w:val="006A4228"/>
    <w:rsid w:val="006A447A"/>
    <w:rsid w:val="006A5F2B"/>
    <w:rsid w:val="006A6A30"/>
    <w:rsid w:val="006A6F2B"/>
    <w:rsid w:val="006A7699"/>
    <w:rsid w:val="006B0557"/>
    <w:rsid w:val="006B05DF"/>
    <w:rsid w:val="006B1000"/>
    <w:rsid w:val="006B1012"/>
    <w:rsid w:val="006B16A9"/>
    <w:rsid w:val="006B1A9D"/>
    <w:rsid w:val="006B2531"/>
    <w:rsid w:val="006B3B1D"/>
    <w:rsid w:val="006B3E8E"/>
    <w:rsid w:val="006B3FA4"/>
    <w:rsid w:val="006B4206"/>
    <w:rsid w:val="006B4F75"/>
    <w:rsid w:val="006B522C"/>
    <w:rsid w:val="006C13D5"/>
    <w:rsid w:val="006C2865"/>
    <w:rsid w:val="006C368E"/>
    <w:rsid w:val="006C3BE8"/>
    <w:rsid w:val="006C6351"/>
    <w:rsid w:val="006C69BB"/>
    <w:rsid w:val="006C73D3"/>
    <w:rsid w:val="006C78F7"/>
    <w:rsid w:val="006C7F45"/>
    <w:rsid w:val="006D018C"/>
    <w:rsid w:val="006D066E"/>
    <w:rsid w:val="006D0773"/>
    <w:rsid w:val="006D081C"/>
    <w:rsid w:val="006D10B6"/>
    <w:rsid w:val="006D17F0"/>
    <w:rsid w:val="006D35A3"/>
    <w:rsid w:val="006D4BA3"/>
    <w:rsid w:val="006D6B35"/>
    <w:rsid w:val="006D709A"/>
    <w:rsid w:val="006E16A0"/>
    <w:rsid w:val="006E3240"/>
    <w:rsid w:val="006E3594"/>
    <w:rsid w:val="006E39EE"/>
    <w:rsid w:val="006E4119"/>
    <w:rsid w:val="006E6078"/>
    <w:rsid w:val="006E784A"/>
    <w:rsid w:val="006F05AF"/>
    <w:rsid w:val="006F0D5E"/>
    <w:rsid w:val="006F103A"/>
    <w:rsid w:val="006F3AAC"/>
    <w:rsid w:val="006F4270"/>
    <w:rsid w:val="006F478D"/>
    <w:rsid w:val="006F4DAE"/>
    <w:rsid w:val="006F62B0"/>
    <w:rsid w:val="00704748"/>
    <w:rsid w:val="0070522A"/>
    <w:rsid w:val="00705D0D"/>
    <w:rsid w:val="00706A2D"/>
    <w:rsid w:val="007116E7"/>
    <w:rsid w:val="00711AAA"/>
    <w:rsid w:val="0071275F"/>
    <w:rsid w:val="007136F3"/>
    <w:rsid w:val="00714933"/>
    <w:rsid w:val="00714FCE"/>
    <w:rsid w:val="00715B3B"/>
    <w:rsid w:val="0071633D"/>
    <w:rsid w:val="0071782C"/>
    <w:rsid w:val="00717DAE"/>
    <w:rsid w:val="00721E9B"/>
    <w:rsid w:val="0072247F"/>
    <w:rsid w:val="00723489"/>
    <w:rsid w:val="007244BA"/>
    <w:rsid w:val="00724EE4"/>
    <w:rsid w:val="00725584"/>
    <w:rsid w:val="00725C7A"/>
    <w:rsid w:val="00727B4C"/>
    <w:rsid w:val="00727FD5"/>
    <w:rsid w:val="007301DD"/>
    <w:rsid w:val="007325A1"/>
    <w:rsid w:val="00734CA5"/>
    <w:rsid w:val="0073678F"/>
    <w:rsid w:val="00740311"/>
    <w:rsid w:val="00741351"/>
    <w:rsid w:val="00742B96"/>
    <w:rsid w:val="00742EFF"/>
    <w:rsid w:val="007430C5"/>
    <w:rsid w:val="00743479"/>
    <w:rsid w:val="007437EF"/>
    <w:rsid w:val="00743A3B"/>
    <w:rsid w:val="00744E33"/>
    <w:rsid w:val="00744F97"/>
    <w:rsid w:val="007460D9"/>
    <w:rsid w:val="007465A4"/>
    <w:rsid w:val="007469B8"/>
    <w:rsid w:val="00746BCB"/>
    <w:rsid w:val="00747184"/>
    <w:rsid w:val="00747DB7"/>
    <w:rsid w:val="007500CC"/>
    <w:rsid w:val="00750C5D"/>
    <w:rsid w:val="00751826"/>
    <w:rsid w:val="007520BF"/>
    <w:rsid w:val="00754F01"/>
    <w:rsid w:val="0075641B"/>
    <w:rsid w:val="00756B63"/>
    <w:rsid w:val="00760500"/>
    <w:rsid w:val="00762A9F"/>
    <w:rsid w:val="00762FD9"/>
    <w:rsid w:val="00763003"/>
    <w:rsid w:val="00763337"/>
    <w:rsid w:val="00764002"/>
    <w:rsid w:val="0076428E"/>
    <w:rsid w:val="0076434B"/>
    <w:rsid w:val="007647B4"/>
    <w:rsid w:val="00764B8E"/>
    <w:rsid w:val="00764BA6"/>
    <w:rsid w:val="00764E44"/>
    <w:rsid w:val="00764F58"/>
    <w:rsid w:val="00766FA3"/>
    <w:rsid w:val="007673DC"/>
    <w:rsid w:val="00770BBB"/>
    <w:rsid w:val="007714C0"/>
    <w:rsid w:val="00771720"/>
    <w:rsid w:val="00772835"/>
    <w:rsid w:val="00773B8A"/>
    <w:rsid w:val="00773FE2"/>
    <w:rsid w:val="00774966"/>
    <w:rsid w:val="00775148"/>
    <w:rsid w:val="00775D31"/>
    <w:rsid w:val="007778C8"/>
    <w:rsid w:val="00780C1E"/>
    <w:rsid w:val="0078182E"/>
    <w:rsid w:val="00782B64"/>
    <w:rsid w:val="00784595"/>
    <w:rsid w:val="00784C44"/>
    <w:rsid w:val="00784D8C"/>
    <w:rsid w:val="00786B45"/>
    <w:rsid w:val="007910CB"/>
    <w:rsid w:val="007924EA"/>
    <w:rsid w:val="00792568"/>
    <w:rsid w:val="007928C9"/>
    <w:rsid w:val="00792CFF"/>
    <w:rsid w:val="0079302B"/>
    <w:rsid w:val="00793CEA"/>
    <w:rsid w:val="007944D4"/>
    <w:rsid w:val="00794F82"/>
    <w:rsid w:val="007954FF"/>
    <w:rsid w:val="007957D6"/>
    <w:rsid w:val="0079680E"/>
    <w:rsid w:val="00796E6F"/>
    <w:rsid w:val="00797BDB"/>
    <w:rsid w:val="007A0928"/>
    <w:rsid w:val="007A1673"/>
    <w:rsid w:val="007A1EC2"/>
    <w:rsid w:val="007A28CC"/>
    <w:rsid w:val="007A4623"/>
    <w:rsid w:val="007A5230"/>
    <w:rsid w:val="007A7405"/>
    <w:rsid w:val="007B00B9"/>
    <w:rsid w:val="007B13B8"/>
    <w:rsid w:val="007B252B"/>
    <w:rsid w:val="007B26B1"/>
    <w:rsid w:val="007B310C"/>
    <w:rsid w:val="007B36AA"/>
    <w:rsid w:val="007B42A7"/>
    <w:rsid w:val="007B54D5"/>
    <w:rsid w:val="007B6159"/>
    <w:rsid w:val="007B6AED"/>
    <w:rsid w:val="007C08F3"/>
    <w:rsid w:val="007C36F9"/>
    <w:rsid w:val="007C38F6"/>
    <w:rsid w:val="007C44B5"/>
    <w:rsid w:val="007C5065"/>
    <w:rsid w:val="007C5B22"/>
    <w:rsid w:val="007C64B2"/>
    <w:rsid w:val="007C66A4"/>
    <w:rsid w:val="007D102B"/>
    <w:rsid w:val="007D2274"/>
    <w:rsid w:val="007D361E"/>
    <w:rsid w:val="007D6C48"/>
    <w:rsid w:val="007D77F3"/>
    <w:rsid w:val="007D7BDB"/>
    <w:rsid w:val="007E0677"/>
    <w:rsid w:val="007E103E"/>
    <w:rsid w:val="007E149A"/>
    <w:rsid w:val="007E15EE"/>
    <w:rsid w:val="007E1D81"/>
    <w:rsid w:val="007E356D"/>
    <w:rsid w:val="007E4874"/>
    <w:rsid w:val="007E4CBD"/>
    <w:rsid w:val="007E6D4E"/>
    <w:rsid w:val="007E7262"/>
    <w:rsid w:val="007F01A7"/>
    <w:rsid w:val="007F32B8"/>
    <w:rsid w:val="007F40FB"/>
    <w:rsid w:val="007F4625"/>
    <w:rsid w:val="007F4A94"/>
    <w:rsid w:val="007F6D14"/>
    <w:rsid w:val="007F7256"/>
    <w:rsid w:val="007F7E31"/>
    <w:rsid w:val="00802859"/>
    <w:rsid w:val="00802ADE"/>
    <w:rsid w:val="00802D1A"/>
    <w:rsid w:val="00803147"/>
    <w:rsid w:val="00803184"/>
    <w:rsid w:val="008039A1"/>
    <w:rsid w:val="008043E0"/>
    <w:rsid w:val="00804AB5"/>
    <w:rsid w:val="00806B46"/>
    <w:rsid w:val="00810842"/>
    <w:rsid w:val="00810E96"/>
    <w:rsid w:val="00811439"/>
    <w:rsid w:val="00811468"/>
    <w:rsid w:val="00811EAD"/>
    <w:rsid w:val="008121E5"/>
    <w:rsid w:val="00812957"/>
    <w:rsid w:val="00814B38"/>
    <w:rsid w:val="008156E2"/>
    <w:rsid w:val="00816288"/>
    <w:rsid w:val="008175CC"/>
    <w:rsid w:val="00817689"/>
    <w:rsid w:val="008177F9"/>
    <w:rsid w:val="00820BBA"/>
    <w:rsid w:val="0082126C"/>
    <w:rsid w:val="00821407"/>
    <w:rsid w:val="008219C3"/>
    <w:rsid w:val="00824063"/>
    <w:rsid w:val="00824243"/>
    <w:rsid w:val="0082434F"/>
    <w:rsid w:val="0082470B"/>
    <w:rsid w:val="00824D03"/>
    <w:rsid w:val="00826106"/>
    <w:rsid w:val="0082672C"/>
    <w:rsid w:val="00830793"/>
    <w:rsid w:val="008313D1"/>
    <w:rsid w:val="00831858"/>
    <w:rsid w:val="0083201A"/>
    <w:rsid w:val="00833443"/>
    <w:rsid w:val="00834334"/>
    <w:rsid w:val="00835875"/>
    <w:rsid w:val="0083762D"/>
    <w:rsid w:val="00840CA5"/>
    <w:rsid w:val="00841A14"/>
    <w:rsid w:val="00842865"/>
    <w:rsid w:val="00843193"/>
    <w:rsid w:val="00843A34"/>
    <w:rsid w:val="0084411A"/>
    <w:rsid w:val="0084440A"/>
    <w:rsid w:val="008472A3"/>
    <w:rsid w:val="00847FE0"/>
    <w:rsid w:val="00850332"/>
    <w:rsid w:val="0085060E"/>
    <w:rsid w:val="00850B49"/>
    <w:rsid w:val="00851974"/>
    <w:rsid w:val="00852155"/>
    <w:rsid w:val="00852423"/>
    <w:rsid w:val="0085262D"/>
    <w:rsid w:val="00852B16"/>
    <w:rsid w:val="00852EE0"/>
    <w:rsid w:val="00855E18"/>
    <w:rsid w:val="00855FB4"/>
    <w:rsid w:val="0085712C"/>
    <w:rsid w:val="00857EC7"/>
    <w:rsid w:val="00861012"/>
    <w:rsid w:val="00861C22"/>
    <w:rsid w:val="008640BA"/>
    <w:rsid w:val="00864D2C"/>
    <w:rsid w:val="00865DD7"/>
    <w:rsid w:val="008667EB"/>
    <w:rsid w:val="00867224"/>
    <w:rsid w:val="0086728B"/>
    <w:rsid w:val="008672AE"/>
    <w:rsid w:val="0087076F"/>
    <w:rsid w:val="0087120E"/>
    <w:rsid w:val="0087187F"/>
    <w:rsid w:val="008735FA"/>
    <w:rsid w:val="00874E8D"/>
    <w:rsid w:val="00881303"/>
    <w:rsid w:val="008819FC"/>
    <w:rsid w:val="00882235"/>
    <w:rsid w:val="00883FBA"/>
    <w:rsid w:val="00884035"/>
    <w:rsid w:val="00884D61"/>
    <w:rsid w:val="008857CB"/>
    <w:rsid w:val="00885C6D"/>
    <w:rsid w:val="00885FC1"/>
    <w:rsid w:val="0088628F"/>
    <w:rsid w:val="008905C4"/>
    <w:rsid w:val="00893CE4"/>
    <w:rsid w:val="00894E2C"/>
    <w:rsid w:val="00895103"/>
    <w:rsid w:val="0089576C"/>
    <w:rsid w:val="00895CB2"/>
    <w:rsid w:val="008961AD"/>
    <w:rsid w:val="00897F2E"/>
    <w:rsid w:val="008A2014"/>
    <w:rsid w:val="008A2D8B"/>
    <w:rsid w:val="008A438D"/>
    <w:rsid w:val="008A5B01"/>
    <w:rsid w:val="008A5F2E"/>
    <w:rsid w:val="008A5FB3"/>
    <w:rsid w:val="008A670D"/>
    <w:rsid w:val="008A6C72"/>
    <w:rsid w:val="008B15DE"/>
    <w:rsid w:val="008B1A25"/>
    <w:rsid w:val="008B2108"/>
    <w:rsid w:val="008B211C"/>
    <w:rsid w:val="008B2EF6"/>
    <w:rsid w:val="008B32D0"/>
    <w:rsid w:val="008B4FBD"/>
    <w:rsid w:val="008B6F88"/>
    <w:rsid w:val="008C1006"/>
    <w:rsid w:val="008C10E0"/>
    <w:rsid w:val="008C177B"/>
    <w:rsid w:val="008C1E77"/>
    <w:rsid w:val="008C2387"/>
    <w:rsid w:val="008C2688"/>
    <w:rsid w:val="008C287A"/>
    <w:rsid w:val="008C3C80"/>
    <w:rsid w:val="008C4179"/>
    <w:rsid w:val="008C4472"/>
    <w:rsid w:val="008C4869"/>
    <w:rsid w:val="008C4FDA"/>
    <w:rsid w:val="008C5463"/>
    <w:rsid w:val="008C57FC"/>
    <w:rsid w:val="008C64D5"/>
    <w:rsid w:val="008C6D79"/>
    <w:rsid w:val="008C70A7"/>
    <w:rsid w:val="008C7536"/>
    <w:rsid w:val="008C7572"/>
    <w:rsid w:val="008C7AB6"/>
    <w:rsid w:val="008D0016"/>
    <w:rsid w:val="008D0D2F"/>
    <w:rsid w:val="008D0D70"/>
    <w:rsid w:val="008D0F77"/>
    <w:rsid w:val="008D221D"/>
    <w:rsid w:val="008D27F1"/>
    <w:rsid w:val="008D2998"/>
    <w:rsid w:val="008D3F24"/>
    <w:rsid w:val="008D50B9"/>
    <w:rsid w:val="008D539A"/>
    <w:rsid w:val="008D5AD5"/>
    <w:rsid w:val="008D657D"/>
    <w:rsid w:val="008D73C3"/>
    <w:rsid w:val="008E0089"/>
    <w:rsid w:val="008E00BD"/>
    <w:rsid w:val="008E0A76"/>
    <w:rsid w:val="008E1352"/>
    <w:rsid w:val="008E1607"/>
    <w:rsid w:val="008E2025"/>
    <w:rsid w:val="008E27CE"/>
    <w:rsid w:val="008E40EB"/>
    <w:rsid w:val="008E49D8"/>
    <w:rsid w:val="008E52DE"/>
    <w:rsid w:val="008E55F0"/>
    <w:rsid w:val="008E5DAE"/>
    <w:rsid w:val="008E64BC"/>
    <w:rsid w:val="008E69CE"/>
    <w:rsid w:val="008E72F9"/>
    <w:rsid w:val="008F0EBB"/>
    <w:rsid w:val="008F21D3"/>
    <w:rsid w:val="008F2222"/>
    <w:rsid w:val="008F419A"/>
    <w:rsid w:val="008F445D"/>
    <w:rsid w:val="008F56CD"/>
    <w:rsid w:val="00900933"/>
    <w:rsid w:val="00900E05"/>
    <w:rsid w:val="00900F44"/>
    <w:rsid w:val="009021B7"/>
    <w:rsid w:val="009038DF"/>
    <w:rsid w:val="009056C0"/>
    <w:rsid w:val="00905D70"/>
    <w:rsid w:val="00906ECE"/>
    <w:rsid w:val="00907F09"/>
    <w:rsid w:val="00913537"/>
    <w:rsid w:val="009137C7"/>
    <w:rsid w:val="00913B68"/>
    <w:rsid w:val="00914190"/>
    <w:rsid w:val="00916CE8"/>
    <w:rsid w:val="009176FA"/>
    <w:rsid w:val="0092089D"/>
    <w:rsid w:val="00920C11"/>
    <w:rsid w:val="00920E10"/>
    <w:rsid w:val="00920FB4"/>
    <w:rsid w:val="0092128B"/>
    <w:rsid w:val="009212C0"/>
    <w:rsid w:val="00921A03"/>
    <w:rsid w:val="00921C95"/>
    <w:rsid w:val="009223F1"/>
    <w:rsid w:val="0092321C"/>
    <w:rsid w:val="00923585"/>
    <w:rsid w:val="00924243"/>
    <w:rsid w:val="00924434"/>
    <w:rsid w:val="00924D68"/>
    <w:rsid w:val="00926729"/>
    <w:rsid w:val="009270FA"/>
    <w:rsid w:val="009277AB"/>
    <w:rsid w:val="00927BB2"/>
    <w:rsid w:val="0093043B"/>
    <w:rsid w:val="00932394"/>
    <w:rsid w:val="009333D1"/>
    <w:rsid w:val="00936449"/>
    <w:rsid w:val="00936EB3"/>
    <w:rsid w:val="0093774D"/>
    <w:rsid w:val="00941B80"/>
    <w:rsid w:val="009429AD"/>
    <w:rsid w:val="009430C6"/>
    <w:rsid w:val="00944AE6"/>
    <w:rsid w:val="00944C7A"/>
    <w:rsid w:val="009464BC"/>
    <w:rsid w:val="00946B23"/>
    <w:rsid w:val="009473FD"/>
    <w:rsid w:val="0094793B"/>
    <w:rsid w:val="009503C4"/>
    <w:rsid w:val="00950B91"/>
    <w:rsid w:val="0095125E"/>
    <w:rsid w:val="00951A27"/>
    <w:rsid w:val="0095272D"/>
    <w:rsid w:val="009531CE"/>
    <w:rsid w:val="009545CD"/>
    <w:rsid w:val="00954D4F"/>
    <w:rsid w:val="009561E4"/>
    <w:rsid w:val="00956BDE"/>
    <w:rsid w:val="00956CA6"/>
    <w:rsid w:val="0095727B"/>
    <w:rsid w:val="00957B04"/>
    <w:rsid w:val="00957B21"/>
    <w:rsid w:val="00960274"/>
    <w:rsid w:val="009619C0"/>
    <w:rsid w:val="00962C14"/>
    <w:rsid w:val="00963401"/>
    <w:rsid w:val="00964333"/>
    <w:rsid w:val="00965652"/>
    <w:rsid w:val="00965B11"/>
    <w:rsid w:val="00966029"/>
    <w:rsid w:val="009668E8"/>
    <w:rsid w:val="00967868"/>
    <w:rsid w:val="00970376"/>
    <w:rsid w:val="00970402"/>
    <w:rsid w:val="00970904"/>
    <w:rsid w:val="00970A48"/>
    <w:rsid w:val="0097188E"/>
    <w:rsid w:val="00971D44"/>
    <w:rsid w:val="00972727"/>
    <w:rsid w:val="00972B7D"/>
    <w:rsid w:val="009731F8"/>
    <w:rsid w:val="00973451"/>
    <w:rsid w:val="0097423B"/>
    <w:rsid w:val="009743FA"/>
    <w:rsid w:val="00976179"/>
    <w:rsid w:val="0097628F"/>
    <w:rsid w:val="009812A4"/>
    <w:rsid w:val="00981523"/>
    <w:rsid w:val="00982473"/>
    <w:rsid w:val="00983053"/>
    <w:rsid w:val="009831BF"/>
    <w:rsid w:val="009831C1"/>
    <w:rsid w:val="00983616"/>
    <w:rsid w:val="00983BB9"/>
    <w:rsid w:val="00983FCC"/>
    <w:rsid w:val="00984C61"/>
    <w:rsid w:val="009865FF"/>
    <w:rsid w:val="0098666C"/>
    <w:rsid w:val="00990A29"/>
    <w:rsid w:val="009910A9"/>
    <w:rsid w:val="00991BD5"/>
    <w:rsid w:val="00992483"/>
    <w:rsid w:val="0099293D"/>
    <w:rsid w:val="00992BAA"/>
    <w:rsid w:val="00993DAA"/>
    <w:rsid w:val="0099586B"/>
    <w:rsid w:val="00996E1B"/>
    <w:rsid w:val="009A058F"/>
    <w:rsid w:val="009A210C"/>
    <w:rsid w:val="009A33FB"/>
    <w:rsid w:val="009A363C"/>
    <w:rsid w:val="009A43D0"/>
    <w:rsid w:val="009A5858"/>
    <w:rsid w:val="009A58D6"/>
    <w:rsid w:val="009A5EEB"/>
    <w:rsid w:val="009A6FB7"/>
    <w:rsid w:val="009A732E"/>
    <w:rsid w:val="009A75AE"/>
    <w:rsid w:val="009B01F2"/>
    <w:rsid w:val="009B0C78"/>
    <w:rsid w:val="009B0C9C"/>
    <w:rsid w:val="009B1DFD"/>
    <w:rsid w:val="009B253F"/>
    <w:rsid w:val="009B4538"/>
    <w:rsid w:val="009B537F"/>
    <w:rsid w:val="009B5B4B"/>
    <w:rsid w:val="009B7746"/>
    <w:rsid w:val="009B7F47"/>
    <w:rsid w:val="009C0401"/>
    <w:rsid w:val="009C0F62"/>
    <w:rsid w:val="009C1692"/>
    <w:rsid w:val="009C3381"/>
    <w:rsid w:val="009C4093"/>
    <w:rsid w:val="009C4488"/>
    <w:rsid w:val="009C4CEF"/>
    <w:rsid w:val="009C6801"/>
    <w:rsid w:val="009C6B1C"/>
    <w:rsid w:val="009C7829"/>
    <w:rsid w:val="009C79B1"/>
    <w:rsid w:val="009C7AF5"/>
    <w:rsid w:val="009C7D8A"/>
    <w:rsid w:val="009C7F5D"/>
    <w:rsid w:val="009D09C9"/>
    <w:rsid w:val="009D0EB2"/>
    <w:rsid w:val="009D140D"/>
    <w:rsid w:val="009D36FE"/>
    <w:rsid w:val="009D4B9A"/>
    <w:rsid w:val="009D68FB"/>
    <w:rsid w:val="009D708D"/>
    <w:rsid w:val="009D71B5"/>
    <w:rsid w:val="009D7D3B"/>
    <w:rsid w:val="009E01B2"/>
    <w:rsid w:val="009E0562"/>
    <w:rsid w:val="009E2716"/>
    <w:rsid w:val="009E2799"/>
    <w:rsid w:val="009E2B38"/>
    <w:rsid w:val="009E40F5"/>
    <w:rsid w:val="009E6057"/>
    <w:rsid w:val="009E7DDE"/>
    <w:rsid w:val="009F0DEA"/>
    <w:rsid w:val="009F130B"/>
    <w:rsid w:val="009F16A2"/>
    <w:rsid w:val="009F220C"/>
    <w:rsid w:val="009F27A7"/>
    <w:rsid w:val="009F3A1C"/>
    <w:rsid w:val="009F6836"/>
    <w:rsid w:val="009F76AF"/>
    <w:rsid w:val="009F778A"/>
    <w:rsid w:val="009F7B19"/>
    <w:rsid w:val="00A001B6"/>
    <w:rsid w:val="00A00465"/>
    <w:rsid w:val="00A023A2"/>
    <w:rsid w:val="00A0262F"/>
    <w:rsid w:val="00A02B76"/>
    <w:rsid w:val="00A043B7"/>
    <w:rsid w:val="00A0733B"/>
    <w:rsid w:val="00A07624"/>
    <w:rsid w:val="00A07A0B"/>
    <w:rsid w:val="00A10AFB"/>
    <w:rsid w:val="00A10B71"/>
    <w:rsid w:val="00A1143E"/>
    <w:rsid w:val="00A11505"/>
    <w:rsid w:val="00A11EB6"/>
    <w:rsid w:val="00A1409D"/>
    <w:rsid w:val="00A1436B"/>
    <w:rsid w:val="00A157F9"/>
    <w:rsid w:val="00A15E0F"/>
    <w:rsid w:val="00A1622C"/>
    <w:rsid w:val="00A171E2"/>
    <w:rsid w:val="00A171F8"/>
    <w:rsid w:val="00A17208"/>
    <w:rsid w:val="00A17F17"/>
    <w:rsid w:val="00A20894"/>
    <w:rsid w:val="00A211AD"/>
    <w:rsid w:val="00A2184F"/>
    <w:rsid w:val="00A21BDB"/>
    <w:rsid w:val="00A22565"/>
    <w:rsid w:val="00A2368F"/>
    <w:rsid w:val="00A25CEE"/>
    <w:rsid w:val="00A26D7E"/>
    <w:rsid w:val="00A27873"/>
    <w:rsid w:val="00A30B2B"/>
    <w:rsid w:val="00A31843"/>
    <w:rsid w:val="00A32396"/>
    <w:rsid w:val="00A342B4"/>
    <w:rsid w:val="00A3478B"/>
    <w:rsid w:val="00A35501"/>
    <w:rsid w:val="00A3577C"/>
    <w:rsid w:val="00A36D76"/>
    <w:rsid w:val="00A40E2A"/>
    <w:rsid w:val="00A41718"/>
    <w:rsid w:val="00A420F3"/>
    <w:rsid w:val="00A436BE"/>
    <w:rsid w:val="00A4477C"/>
    <w:rsid w:val="00A44890"/>
    <w:rsid w:val="00A44C9F"/>
    <w:rsid w:val="00A4583E"/>
    <w:rsid w:val="00A46058"/>
    <w:rsid w:val="00A46FF5"/>
    <w:rsid w:val="00A47F69"/>
    <w:rsid w:val="00A50339"/>
    <w:rsid w:val="00A527F0"/>
    <w:rsid w:val="00A536A7"/>
    <w:rsid w:val="00A541D7"/>
    <w:rsid w:val="00A543B4"/>
    <w:rsid w:val="00A54631"/>
    <w:rsid w:val="00A55122"/>
    <w:rsid w:val="00A6037C"/>
    <w:rsid w:val="00A60732"/>
    <w:rsid w:val="00A60873"/>
    <w:rsid w:val="00A612FE"/>
    <w:rsid w:val="00A61F12"/>
    <w:rsid w:val="00A6427B"/>
    <w:rsid w:val="00A64CC6"/>
    <w:rsid w:val="00A6542A"/>
    <w:rsid w:val="00A67EF4"/>
    <w:rsid w:val="00A705DF"/>
    <w:rsid w:val="00A71136"/>
    <w:rsid w:val="00A71151"/>
    <w:rsid w:val="00A7120A"/>
    <w:rsid w:val="00A71B76"/>
    <w:rsid w:val="00A720AF"/>
    <w:rsid w:val="00A7310D"/>
    <w:rsid w:val="00A73829"/>
    <w:rsid w:val="00A73EC9"/>
    <w:rsid w:val="00A743E5"/>
    <w:rsid w:val="00A75546"/>
    <w:rsid w:val="00A75B87"/>
    <w:rsid w:val="00A8032C"/>
    <w:rsid w:val="00A8047A"/>
    <w:rsid w:val="00A80845"/>
    <w:rsid w:val="00A81B74"/>
    <w:rsid w:val="00A83784"/>
    <w:rsid w:val="00A84B68"/>
    <w:rsid w:val="00A8550A"/>
    <w:rsid w:val="00A8552D"/>
    <w:rsid w:val="00A90396"/>
    <w:rsid w:val="00A91B5D"/>
    <w:rsid w:val="00A94203"/>
    <w:rsid w:val="00A94573"/>
    <w:rsid w:val="00A94BB9"/>
    <w:rsid w:val="00A95E6D"/>
    <w:rsid w:val="00A961AA"/>
    <w:rsid w:val="00A96C58"/>
    <w:rsid w:val="00A96C8E"/>
    <w:rsid w:val="00A97165"/>
    <w:rsid w:val="00A97717"/>
    <w:rsid w:val="00A977A8"/>
    <w:rsid w:val="00AA2130"/>
    <w:rsid w:val="00AA2C93"/>
    <w:rsid w:val="00AA2CDC"/>
    <w:rsid w:val="00AA3429"/>
    <w:rsid w:val="00AA3CAC"/>
    <w:rsid w:val="00AA4F60"/>
    <w:rsid w:val="00AA6667"/>
    <w:rsid w:val="00AA6965"/>
    <w:rsid w:val="00AB16EF"/>
    <w:rsid w:val="00AB1806"/>
    <w:rsid w:val="00AB21BC"/>
    <w:rsid w:val="00AB278A"/>
    <w:rsid w:val="00AB2E3D"/>
    <w:rsid w:val="00AB5128"/>
    <w:rsid w:val="00AB53F8"/>
    <w:rsid w:val="00AB5440"/>
    <w:rsid w:val="00AB5771"/>
    <w:rsid w:val="00AB605A"/>
    <w:rsid w:val="00AC0100"/>
    <w:rsid w:val="00AC03C0"/>
    <w:rsid w:val="00AC1B74"/>
    <w:rsid w:val="00AC31ED"/>
    <w:rsid w:val="00AC36A7"/>
    <w:rsid w:val="00AC45BB"/>
    <w:rsid w:val="00AC4B0B"/>
    <w:rsid w:val="00AC55E4"/>
    <w:rsid w:val="00AC597E"/>
    <w:rsid w:val="00AC5F0B"/>
    <w:rsid w:val="00AD1618"/>
    <w:rsid w:val="00AD1E89"/>
    <w:rsid w:val="00AD2C02"/>
    <w:rsid w:val="00AD413B"/>
    <w:rsid w:val="00AD4240"/>
    <w:rsid w:val="00AD4634"/>
    <w:rsid w:val="00AD534B"/>
    <w:rsid w:val="00AD66F7"/>
    <w:rsid w:val="00AD74C1"/>
    <w:rsid w:val="00AD757A"/>
    <w:rsid w:val="00AD7656"/>
    <w:rsid w:val="00AD768F"/>
    <w:rsid w:val="00AD7763"/>
    <w:rsid w:val="00AE076D"/>
    <w:rsid w:val="00AE1770"/>
    <w:rsid w:val="00AE1EA1"/>
    <w:rsid w:val="00AE401F"/>
    <w:rsid w:val="00AE6FE6"/>
    <w:rsid w:val="00AE7966"/>
    <w:rsid w:val="00AE7B24"/>
    <w:rsid w:val="00AF0859"/>
    <w:rsid w:val="00AF156C"/>
    <w:rsid w:val="00AF18E2"/>
    <w:rsid w:val="00AF26B4"/>
    <w:rsid w:val="00AF37F1"/>
    <w:rsid w:val="00AF3C0D"/>
    <w:rsid w:val="00AF4DE7"/>
    <w:rsid w:val="00AF5431"/>
    <w:rsid w:val="00AF6570"/>
    <w:rsid w:val="00AF7FC5"/>
    <w:rsid w:val="00B0098F"/>
    <w:rsid w:val="00B00B6B"/>
    <w:rsid w:val="00B01413"/>
    <w:rsid w:val="00B01BB0"/>
    <w:rsid w:val="00B02DDE"/>
    <w:rsid w:val="00B035F6"/>
    <w:rsid w:val="00B03C97"/>
    <w:rsid w:val="00B040B0"/>
    <w:rsid w:val="00B0431C"/>
    <w:rsid w:val="00B04579"/>
    <w:rsid w:val="00B05FDC"/>
    <w:rsid w:val="00B06B6F"/>
    <w:rsid w:val="00B06CD4"/>
    <w:rsid w:val="00B10597"/>
    <w:rsid w:val="00B1092F"/>
    <w:rsid w:val="00B11B7E"/>
    <w:rsid w:val="00B11DC6"/>
    <w:rsid w:val="00B121CF"/>
    <w:rsid w:val="00B1342C"/>
    <w:rsid w:val="00B14A33"/>
    <w:rsid w:val="00B15229"/>
    <w:rsid w:val="00B166A4"/>
    <w:rsid w:val="00B17650"/>
    <w:rsid w:val="00B17C39"/>
    <w:rsid w:val="00B17D61"/>
    <w:rsid w:val="00B17EDB"/>
    <w:rsid w:val="00B17FD0"/>
    <w:rsid w:val="00B210B3"/>
    <w:rsid w:val="00B22B39"/>
    <w:rsid w:val="00B232F5"/>
    <w:rsid w:val="00B237CA"/>
    <w:rsid w:val="00B23822"/>
    <w:rsid w:val="00B24A15"/>
    <w:rsid w:val="00B24B07"/>
    <w:rsid w:val="00B2610F"/>
    <w:rsid w:val="00B268F9"/>
    <w:rsid w:val="00B26AE2"/>
    <w:rsid w:val="00B27459"/>
    <w:rsid w:val="00B302D1"/>
    <w:rsid w:val="00B30D6E"/>
    <w:rsid w:val="00B31F2D"/>
    <w:rsid w:val="00B32143"/>
    <w:rsid w:val="00B32A72"/>
    <w:rsid w:val="00B32D2B"/>
    <w:rsid w:val="00B3395C"/>
    <w:rsid w:val="00B341F1"/>
    <w:rsid w:val="00B34605"/>
    <w:rsid w:val="00B354DA"/>
    <w:rsid w:val="00B35B08"/>
    <w:rsid w:val="00B35BCD"/>
    <w:rsid w:val="00B35FB8"/>
    <w:rsid w:val="00B372DA"/>
    <w:rsid w:val="00B40297"/>
    <w:rsid w:val="00B41449"/>
    <w:rsid w:val="00B41CC5"/>
    <w:rsid w:val="00B425B8"/>
    <w:rsid w:val="00B438EE"/>
    <w:rsid w:val="00B441A8"/>
    <w:rsid w:val="00B4437F"/>
    <w:rsid w:val="00B445B2"/>
    <w:rsid w:val="00B44C38"/>
    <w:rsid w:val="00B45A66"/>
    <w:rsid w:val="00B45B49"/>
    <w:rsid w:val="00B45F07"/>
    <w:rsid w:val="00B45FBE"/>
    <w:rsid w:val="00B474D5"/>
    <w:rsid w:val="00B50173"/>
    <w:rsid w:val="00B502E6"/>
    <w:rsid w:val="00B50CA3"/>
    <w:rsid w:val="00B51940"/>
    <w:rsid w:val="00B52F4C"/>
    <w:rsid w:val="00B534E5"/>
    <w:rsid w:val="00B547FA"/>
    <w:rsid w:val="00B56DFD"/>
    <w:rsid w:val="00B5765D"/>
    <w:rsid w:val="00B60A24"/>
    <w:rsid w:val="00B61121"/>
    <w:rsid w:val="00B61211"/>
    <w:rsid w:val="00B61576"/>
    <w:rsid w:val="00B615A2"/>
    <w:rsid w:val="00B617A5"/>
    <w:rsid w:val="00B61CDD"/>
    <w:rsid w:val="00B627CB"/>
    <w:rsid w:val="00B64BD7"/>
    <w:rsid w:val="00B6504E"/>
    <w:rsid w:val="00B654FB"/>
    <w:rsid w:val="00B6638C"/>
    <w:rsid w:val="00B66541"/>
    <w:rsid w:val="00B66A09"/>
    <w:rsid w:val="00B66C8B"/>
    <w:rsid w:val="00B70305"/>
    <w:rsid w:val="00B704DF"/>
    <w:rsid w:val="00B716AA"/>
    <w:rsid w:val="00B73CFF"/>
    <w:rsid w:val="00B7434C"/>
    <w:rsid w:val="00B747A3"/>
    <w:rsid w:val="00B74BC0"/>
    <w:rsid w:val="00B7524A"/>
    <w:rsid w:val="00B77DA9"/>
    <w:rsid w:val="00B8058E"/>
    <w:rsid w:val="00B80772"/>
    <w:rsid w:val="00B8099E"/>
    <w:rsid w:val="00B80BEA"/>
    <w:rsid w:val="00B832F5"/>
    <w:rsid w:val="00B8359C"/>
    <w:rsid w:val="00B83EEB"/>
    <w:rsid w:val="00B85012"/>
    <w:rsid w:val="00B85A9F"/>
    <w:rsid w:val="00B85B65"/>
    <w:rsid w:val="00B87909"/>
    <w:rsid w:val="00B902FC"/>
    <w:rsid w:val="00B9032F"/>
    <w:rsid w:val="00B90C36"/>
    <w:rsid w:val="00B9163A"/>
    <w:rsid w:val="00B91CB7"/>
    <w:rsid w:val="00B9262F"/>
    <w:rsid w:val="00B9268C"/>
    <w:rsid w:val="00B92D2A"/>
    <w:rsid w:val="00B92E3C"/>
    <w:rsid w:val="00B93354"/>
    <w:rsid w:val="00B949EA"/>
    <w:rsid w:val="00B95408"/>
    <w:rsid w:val="00B96E91"/>
    <w:rsid w:val="00BA0FE5"/>
    <w:rsid w:val="00BA1C8B"/>
    <w:rsid w:val="00BA2097"/>
    <w:rsid w:val="00BA6F86"/>
    <w:rsid w:val="00BA7014"/>
    <w:rsid w:val="00BA78CD"/>
    <w:rsid w:val="00BB1691"/>
    <w:rsid w:val="00BB2887"/>
    <w:rsid w:val="00BB3093"/>
    <w:rsid w:val="00BB58C5"/>
    <w:rsid w:val="00BC2617"/>
    <w:rsid w:val="00BC3182"/>
    <w:rsid w:val="00BC33B6"/>
    <w:rsid w:val="00BC3E70"/>
    <w:rsid w:val="00BC518C"/>
    <w:rsid w:val="00BC5271"/>
    <w:rsid w:val="00BC563A"/>
    <w:rsid w:val="00BC5DE6"/>
    <w:rsid w:val="00BC66B9"/>
    <w:rsid w:val="00BD0B42"/>
    <w:rsid w:val="00BD2F8A"/>
    <w:rsid w:val="00BD36E0"/>
    <w:rsid w:val="00BD4A2F"/>
    <w:rsid w:val="00BD4A85"/>
    <w:rsid w:val="00BD6747"/>
    <w:rsid w:val="00BD7BD6"/>
    <w:rsid w:val="00BD7C4E"/>
    <w:rsid w:val="00BE05D8"/>
    <w:rsid w:val="00BE0C27"/>
    <w:rsid w:val="00BE0FA7"/>
    <w:rsid w:val="00BE13C9"/>
    <w:rsid w:val="00BE3138"/>
    <w:rsid w:val="00BE328F"/>
    <w:rsid w:val="00BE386F"/>
    <w:rsid w:val="00BE431C"/>
    <w:rsid w:val="00BE6E57"/>
    <w:rsid w:val="00BE7480"/>
    <w:rsid w:val="00BE7715"/>
    <w:rsid w:val="00BF0445"/>
    <w:rsid w:val="00BF1B76"/>
    <w:rsid w:val="00BF1D58"/>
    <w:rsid w:val="00BF2A65"/>
    <w:rsid w:val="00BF2AC6"/>
    <w:rsid w:val="00BF2D42"/>
    <w:rsid w:val="00BF309D"/>
    <w:rsid w:val="00BF3663"/>
    <w:rsid w:val="00BF3C66"/>
    <w:rsid w:val="00BF4B48"/>
    <w:rsid w:val="00BF4BE0"/>
    <w:rsid w:val="00BF4DF2"/>
    <w:rsid w:val="00BF5D71"/>
    <w:rsid w:val="00BF7B84"/>
    <w:rsid w:val="00C00733"/>
    <w:rsid w:val="00C01334"/>
    <w:rsid w:val="00C01342"/>
    <w:rsid w:val="00C0147E"/>
    <w:rsid w:val="00C02715"/>
    <w:rsid w:val="00C02BAB"/>
    <w:rsid w:val="00C02D5B"/>
    <w:rsid w:val="00C03274"/>
    <w:rsid w:val="00C0391F"/>
    <w:rsid w:val="00C043B4"/>
    <w:rsid w:val="00C04811"/>
    <w:rsid w:val="00C04FCA"/>
    <w:rsid w:val="00C0522E"/>
    <w:rsid w:val="00C06824"/>
    <w:rsid w:val="00C06E1F"/>
    <w:rsid w:val="00C0717E"/>
    <w:rsid w:val="00C072DA"/>
    <w:rsid w:val="00C07AD1"/>
    <w:rsid w:val="00C07C56"/>
    <w:rsid w:val="00C102B2"/>
    <w:rsid w:val="00C11629"/>
    <w:rsid w:val="00C123FB"/>
    <w:rsid w:val="00C128A1"/>
    <w:rsid w:val="00C129CA"/>
    <w:rsid w:val="00C13540"/>
    <w:rsid w:val="00C13875"/>
    <w:rsid w:val="00C1400E"/>
    <w:rsid w:val="00C152D5"/>
    <w:rsid w:val="00C16183"/>
    <w:rsid w:val="00C16B23"/>
    <w:rsid w:val="00C17157"/>
    <w:rsid w:val="00C2023B"/>
    <w:rsid w:val="00C21AC2"/>
    <w:rsid w:val="00C22511"/>
    <w:rsid w:val="00C23B74"/>
    <w:rsid w:val="00C241AC"/>
    <w:rsid w:val="00C26343"/>
    <w:rsid w:val="00C272DE"/>
    <w:rsid w:val="00C313AA"/>
    <w:rsid w:val="00C3235A"/>
    <w:rsid w:val="00C32AEB"/>
    <w:rsid w:val="00C33001"/>
    <w:rsid w:val="00C330E7"/>
    <w:rsid w:val="00C3344F"/>
    <w:rsid w:val="00C34303"/>
    <w:rsid w:val="00C34C50"/>
    <w:rsid w:val="00C3541E"/>
    <w:rsid w:val="00C35B15"/>
    <w:rsid w:val="00C35B28"/>
    <w:rsid w:val="00C35CF8"/>
    <w:rsid w:val="00C35D04"/>
    <w:rsid w:val="00C36713"/>
    <w:rsid w:val="00C36D23"/>
    <w:rsid w:val="00C36E72"/>
    <w:rsid w:val="00C40258"/>
    <w:rsid w:val="00C423EC"/>
    <w:rsid w:val="00C42A61"/>
    <w:rsid w:val="00C42C45"/>
    <w:rsid w:val="00C45CDF"/>
    <w:rsid w:val="00C46121"/>
    <w:rsid w:val="00C473B4"/>
    <w:rsid w:val="00C47F66"/>
    <w:rsid w:val="00C5112E"/>
    <w:rsid w:val="00C529C8"/>
    <w:rsid w:val="00C53530"/>
    <w:rsid w:val="00C53561"/>
    <w:rsid w:val="00C53DF7"/>
    <w:rsid w:val="00C55178"/>
    <w:rsid w:val="00C5524B"/>
    <w:rsid w:val="00C560B9"/>
    <w:rsid w:val="00C560D3"/>
    <w:rsid w:val="00C56194"/>
    <w:rsid w:val="00C56289"/>
    <w:rsid w:val="00C5633E"/>
    <w:rsid w:val="00C57373"/>
    <w:rsid w:val="00C6004A"/>
    <w:rsid w:val="00C60CFA"/>
    <w:rsid w:val="00C60EF2"/>
    <w:rsid w:val="00C612DF"/>
    <w:rsid w:val="00C61ABE"/>
    <w:rsid w:val="00C622F3"/>
    <w:rsid w:val="00C62517"/>
    <w:rsid w:val="00C6386C"/>
    <w:rsid w:val="00C6703E"/>
    <w:rsid w:val="00C71025"/>
    <w:rsid w:val="00C71B14"/>
    <w:rsid w:val="00C71DBE"/>
    <w:rsid w:val="00C739E4"/>
    <w:rsid w:val="00C73E46"/>
    <w:rsid w:val="00C73F96"/>
    <w:rsid w:val="00C741D9"/>
    <w:rsid w:val="00C747DE"/>
    <w:rsid w:val="00C74B4F"/>
    <w:rsid w:val="00C75767"/>
    <w:rsid w:val="00C800AC"/>
    <w:rsid w:val="00C8056A"/>
    <w:rsid w:val="00C806F8"/>
    <w:rsid w:val="00C80E0E"/>
    <w:rsid w:val="00C81ECB"/>
    <w:rsid w:val="00C82417"/>
    <w:rsid w:val="00C83F6B"/>
    <w:rsid w:val="00C840EE"/>
    <w:rsid w:val="00C84E7E"/>
    <w:rsid w:val="00C84F5F"/>
    <w:rsid w:val="00C85367"/>
    <w:rsid w:val="00C86157"/>
    <w:rsid w:val="00C864F8"/>
    <w:rsid w:val="00C901AC"/>
    <w:rsid w:val="00C9118E"/>
    <w:rsid w:val="00C9147C"/>
    <w:rsid w:val="00C93325"/>
    <w:rsid w:val="00C93A32"/>
    <w:rsid w:val="00C93F40"/>
    <w:rsid w:val="00C94A35"/>
    <w:rsid w:val="00C953F3"/>
    <w:rsid w:val="00C954C1"/>
    <w:rsid w:val="00C955B1"/>
    <w:rsid w:val="00C9586C"/>
    <w:rsid w:val="00C95978"/>
    <w:rsid w:val="00C96377"/>
    <w:rsid w:val="00C97337"/>
    <w:rsid w:val="00C9760C"/>
    <w:rsid w:val="00C97C52"/>
    <w:rsid w:val="00CA0444"/>
    <w:rsid w:val="00CA1A68"/>
    <w:rsid w:val="00CA1D51"/>
    <w:rsid w:val="00CA1DC7"/>
    <w:rsid w:val="00CA2B2F"/>
    <w:rsid w:val="00CA566E"/>
    <w:rsid w:val="00CB09AE"/>
    <w:rsid w:val="00CB12A2"/>
    <w:rsid w:val="00CB1380"/>
    <w:rsid w:val="00CB203A"/>
    <w:rsid w:val="00CB2876"/>
    <w:rsid w:val="00CB30ED"/>
    <w:rsid w:val="00CB440D"/>
    <w:rsid w:val="00CB4665"/>
    <w:rsid w:val="00CB5079"/>
    <w:rsid w:val="00CB5AE1"/>
    <w:rsid w:val="00CB64D0"/>
    <w:rsid w:val="00CB6B1C"/>
    <w:rsid w:val="00CB707A"/>
    <w:rsid w:val="00CB7B1E"/>
    <w:rsid w:val="00CC083B"/>
    <w:rsid w:val="00CC1F3C"/>
    <w:rsid w:val="00CC38D6"/>
    <w:rsid w:val="00CC4594"/>
    <w:rsid w:val="00CC50DC"/>
    <w:rsid w:val="00CC519E"/>
    <w:rsid w:val="00CC7A67"/>
    <w:rsid w:val="00CD2033"/>
    <w:rsid w:val="00CD2AD3"/>
    <w:rsid w:val="00CD3086"/>
    <w:rsid w:val="00CD4B69"/>
    <w:rsid w:val="00CD5878"/>
    <w:rsid w:val="00CD5ADF"/>
    <w:rsid w:val="00CD5D86"/>
    <w:rsid w:val="00CD5F36"/>
    <w:rsid w:val="00CD6560"/>
    <w:rsid w:val="00CD7FA3"/>
    <w:rsid w:val="00CE0462"/>
    <w:rsid w:val="00CE0D58"/>
    <w:rsid w:val="00CE2986"/>
    <w:rsid w:val="00CE3C63"/>
    <w:rsid w:val="00CE46C9"/>
    <w:rsid w:val="00CE5165"/>
    <w:rsid w:val="00CE5312"/>
    <w:rsid w:val="00CE5D2E"/>
    <w:rsid w:val="00CE63A9"/>
    <w:rsid w:val="00CF04B0"/>
    <w:rsid w:val="00CF0BB8"/>
    <w:rsid w:val="00CF10B5"/>
    <w:rsid w:val="00CF212E"/>
    <w:rsid w:val="00CF5787"/>
    <w:rsid w:val="00CF58F9"/>
    <w:rsid w:val="00D00B1A"/>
    <w:rsid w:val="00D0181E"/>
    <w:rsid w:val="00D01CC4"/>
    <w:rsid w:val="00D01CCC"/>
    <w:rsid w:val="00D02305"/>
    <w:rsid w:val="00D02A39"/>
    <w:rsid w:val="00D02C7B"/>
    <w:rsid w:val="00D03264"/>
    <w:rsid w:val="00D0396A"/>
    <w:rsid w:val="00D03DB6"/>
    <w:rsid w:val="00D03FE5"/>
    <w:rsid w:val="00D04784"/>
    <w:rsid w:val="00D04CD8"/>
    <w:rsid w:val="00D04D26"/>
    <w:rsid w:val="00D04E7C"/>
    <w:rsid w:val="00D05B3B"/>
    <w:rsid w:val="00D066FD"/>
    <w:rsid w:val="00D0694C"/>
    <w:rsid w:val="00D06954"/>
    <w:rsid w:val="00D06BAC"/>
    <w:rsid w:val="00D117D1"/>
    <w:rsid w:val="00D11B0E"/>
    <w:rsid w:val="00D12CFC"/>
    <w:rsid w:val="00D1367A"/>
    <w:rsid w:val="00D136E9"/>
    <w:rsid w:val="00D14D3D"/>
    <w:rsid w:val="00D1507C"/>
    <w:rsid w:val="00D17703"/>
    <w:rsid w:val="00D20B3D"/>
    <w:rsid w:val="00D21D6A"/>
    <w:rsid w:val="00D224B3"/>
    <w:rsid w:val="00D2328F"/>
    <w:rsid w:val="00D233F3"/>
    <w:rsid w:val="00D251A6"/>
    <w:rsid w:val="00D25BEB"/>
    <w:rsid w:val="00D30D9C"/>
    <w:rsid w:val="00D311F8"/>
    <w:rsid w:val="00D32DBA"/>
    <w:rsid w:val="00D33B75"/>
    <w:rsid w:val="00D33EEE"/>
    <w:rsid w:val="00D373C9"/>
    <w:rsid w:val="00D376A7"/>
    <w:rsid w:val="00D37F9F"/>
    <w:rsid w:val="00D407EB"/>
    <w:rsid w:val="00D42CC3"/>
    <w:rsid w:val="00D43265"/>
    <w:rsid w:val="00D43B43"/>
    <w:rsid w:val="00D43D52"/>
    <w:rsid w:val="00D45B9D"/>
    <w:rsid w:val="00D46020"/>
    <w:rsid w:val="00D46107"/>
    <w:rsid w:val="00D50919"/>
    <w:rsid w:val="00D50CF5"/>
    <w:rsid w:val="00D51270"/>
    <w:rsid w:val="00D534E1"/>
    <w:rsid w:val="00D53EA6"/>
    <w:rsid w:val="00D53F77"/>
    <w:rsid w:val="00D54CB7"/>
    <w:rsid w:val="00D54DC9"/>
    <w:rsid w:val="00D5736D"/>
    <w:rsid w:val="00D60040"/>
    <w:rsid w:val="00D601A3"/>
    <w:rsid w:val="00D60EFD"/>
    <w:rsid w:val="00D61572"/>
    <w:rsid w:val="00D61A0B"/>
    <w:rsid w:val="00D62AA7"/>
    <w:rsid w:val="00D63441"/>
    <w:rsid w:val="00D63C2E"/>
    <w:rsid w:val="00D643BF"/>
    <w:rsid w:val="00D64A51"/>
    <w:rsid w:val="00D65513"/>
    <w:rsid w:val="00D66129"/>
    <w:rsid w:val="00D6776A"/>
    <w:rsid w:val="00D70931"/>
    <w:rsid w:val="00D7180C"/>
    <w:rsid w:val="00D72669"/>
    <w:rsid w:val="00D730B4"/>
    <w:rsid w:val="00D73345"/>
    <w:rsid w:val="00D74A9E"/>
    <w:rsid w:val="00D74F09"/>
    <w:rsid w:val="00D75A1D"/>
    <w:rsid w:val="00D75F7D"/>
    <w:rsid w:val="00D77369"/>
    <w:rsid w:val="00D81DDE"/>
    <w:rsid w:val="00D832E6"/>
    <w:rsid w:val="00D844D5"/>
    <w:rsid w:val="00D86177"/>
    <w:rsid w:val="00D91280"/>
    <w:rsid w:val="00D91C53"/>
    <w:rsid w:val="00D9253A"/>
    <w:rsid w:val="00D9313C"/>
    <w:rsid w:val="00D93333"/>
    <w:rsid w:val="00D96335"/>
    <w:rsid w:val="00D96B5E"/>
    <w:rsid w:val="00D97020"/>
    <w:rsid w:val="00D97E8D"/>
    <w:rsid w:val="00DA0079"/>
    <w:rsid w:val="00DA049D"/>
    <w:rsid w:val="00DA04A2"/>
    <w:rsid w:val="00DA17B1"/>
    <w:rsid w:val="00DA2E9D"/>
    <w:rsid w:val="00DA46E7"/>
    <w:rsid w:val="00DA55C6"/>
    <w:rsid w:val="00DA5D3F"/>
    <w:rsid w:val="00DA7EA0"/>
    <w:rsid w:val="00DB01EB"/>
    <w:rsid w:val="00DB05DD"/>
    <w:rsid w:val="00DB061D"/>
    <w:rsid w:val="00DB0A6C"/>
    <w:rsid w:val="00DB197B"/>
    <w:rsid w:val="00DB253F"/>
    <w:rsid w:val="00DB2DE5"/>
    <w:rsid w:val="00DB3D53"/>
    <w:rsid w:val="00DB6D84"/>
    <w:rsid w:val="00DC0ED4"/>
    <w:rsid w:val="00DC1791"/>
    <w:rsid w:val="00DC2115"/>
    <w:rsid w:val="00DC2AA7"/>
    <w:rsid w:val="00DC35A3"/>
    <w:rsid w:val="00DC3E63"/>
    <w:rsid w:val="00DC3F18"/>
    <w:rsid w:val="00DC6B8A"/>
    <w:rsid w:val="00DC7F2D"/>
    <w:rsid w:val="00DD03C2"/>
    <w:rsid w:val="00DD0708"/>
    <w:rsid w:val="00DD1C63"/>
    <w:rsid w:val="00DD27A1"/>
    <w:rsid w:val="00DD2869"/>
    <w:rsid w:val="00DD3227"/>
    <w:rsid w:val="00DD32EE"/>
    <w:rsid w:val="00DD3528"/>
    <w:rsid w:val="00DD58B3"/>
    <w:rsid w:val="00DD5B4C"/>
    <w:rsid w:val="00DD7060"/>
    <w:rsid w:val="00DD7C4A"/>
    <w:rsid w:val="00DD7E67"/>
    <w:rsid w:val="00DE1270"/>
    <w:rsid w:val="00DE1481"/>
    <w:rsid w:val="00DE161D"/>
    <w:rsid w:val="00DE340F"/>
    <w:rsid w:val="00DE3997"/>
    <w:rsid w:val="00DE4C6A"/>
    <w:rsid w:val="00DE4FE6"/>
    <w:rsid w:val="00DE5D56"/>
    <w:rsid w:val="00DE698C"/>
    <w:rsid w:val="00DE72CA"/>
    <w:rsid w:val="00DE7B61"/>
    <w:rsid w:val="00DF2107"/>
    <w:rsid w:val="00DF213B"/>
    <w:rsid w:val="00DF36A8"/>
    <w:rsid w:val="00DF36AB"/>
    <w:rsid w:val="00DF3753"/>
    <w:rsid w:val="00DF3DEA"/>
    <w:rsid w:val="00DF5925"/>
    <w:rsid w:val="00DF5DBC"/>
    <w:rsid w:val="00DF67DD"/>
    <w:rsid w:val="00DF6835"/>
    <w:rsid w:val="00DF6E70"/>
    <w:rsid w:val="00DF73D7"/>
    <w:rsid w:val="00DF7499"/>
    <w:rsid w:val="00DF7E1C"/>
    <w:rsid w:val="00E02AFC"/>
    <w:rsid w:val="00E04227"/>
    <w:rsid w:val="00E04530"/>
    <w:rsid w:val="00E06245"/>
    <w:rsid w:val="00E06854"/>
    <w:rsid w:val="00E1033F"/>
    <w:rsid w:val="00E1063C"/>
    <w:rsid w:val="00E10849"/>
    <w:rsid w:val="00E10AF3"/>
    <w:rsid w:val="00E10BAC"/>
    <w:rsid w:val="00E12126"/>
    <w:rsid w:val="00E12B24"/>
    <w:rsid w:val="00E14E33"/>
    <w:rsid w:val="00E1567D"/>
    <w:rsid w:val="00E15FA6"/>
    <w:rsid w:val="00E17973"/>
    <w:rsid w:val="00E17DE0"/>
    <w:rsid w:val="00E20144"/>
    <w:rsid w:val="00E2145D"/>
    <w:rsid w:val="00E21579"/>
    <w:rsid w:val="00E218D9"/>
    <w:rsid w:val="00E21F03"/>
    <w:rsid w:val="00E22CC4"/>
    <w:rsid w:val="00E23107"/>
    <w:rsid w:val="00E23865"/>
    <w:rsid w:val="00E23AFA"/>
    <w:rsid w:val="00E24801"/>
    <w:rsid w:val="00E2508E"/>
    <w:rsid w:val="00E2544C"/>
    <w:rsid w:val="00E25D8D"/>
    <w:rsid w:val="00E26130"/>
    <w:rsid w:val="00E26970"/>
    <w:rsid w:val="00E2721E"/>
    <w:rsid w:val="00E27423"/>
    <w:rsid w:val="00E2748C"/>
    <w:rsid w:val="00E27DC6"/>
    <w:rsid w:val="00E30FD7"/>
    <w:rsid w:val="00E3181A"/>
    <w:rsid w:val="00E32F46"/>
    <w:rsid w:val="00E336A3"/>
    <w:rsid w:val="00E3512B"/>
    <w:rsid w:val="00E367AD"/>
    <w:rsid w:val="00E376C4"/>
    <w:rsid w:val="00E409EB"/>
    <w:rsid w:val="00E438D9"/>
    <w:rsid w:val="00E442F4"/>
    <w:rsid w:val="00E44831"/>
    <w:rsid w:val="00E45DC3"/>
    <w:rsid w:val="00E46E5A"/>
    <w:rsid w:val="00E47C8F"/>
    <w:rsid w:val="00E50C3C"/>
    <w:rsid w:val="00E51CDC"/>
    <w:rsid w:val="00E530F6"/>
    <w:rsid w:val="00E53CBC"/>
    <w:rsid w:val="00E55871"/>
    <w:rsid w:val="00E573DB"/>
    <w:rsid w:val="00E57FB9"/>
    <w:rsid w:val="00E61268"/>
    <w:rsid w:val="00E61810"/>
    <w:rsid w:val="00E61C24"/>
    <w:rsid w:val="00E626C4"/>
    <w:rsid w:val="00E62C6C"/>
    <w:rsid w:val="00E6310D"/>
    <w:rsid w:val="00E6342F"/>
    <w:rsid w:val="00E63AA3"/>
    <w:rsid w:val="00E64494"/>
    <w:rsid w:val="00E64B02"/>
    <w:rsid w:val="00E66227"/>
    <w:rsid w:val="00E662AF"/>
    <w:rsid w:val="00E67F11"/>
    <w:rsid w:val="00E70182"/>
    <w:rsid w:val="00E70FC7"/>
    <w:rsid w:val="00E711DB"/>
    <w:rsid w:val="00E716B0"/>
    <w:rsid w:val="00E720B7"/>
    <w:rsid w:val="00E720B8"/>
    <w:rsid w:val="00E74091"/>
    <w:rsid w:val="00E74C41"/>
    <w:rsid w:val="00E74D93"/>
    <w:rsid w:val="00E74EF7"/>
    <w:rsid w:val="00E75A61"/>
    <w:rsid w:val="00E767B0"/>
    <w:rsid w:val="00E76BC8"/>
    <w:rsid w:val="00E804EE"/>
    <w:rsid w:val="00E80C04"/>
    <w:rsid w:val="00E8128E"/>
    <w:rsid w:val="00E812A6"/>
    <w:rsid w:val="00E823F7"/>
    <w:rsid w:val="00E8295D"/>
    <w:rsid w:val="00E84733"/>
    <w:rsid w:val="00E85CDF"/>
    <w:rsid w:val="00E8607F"/>
    <w:rsid w:val="00E8609E"/>
    <w:rsid w:val="00E871EA"/>
    <w:rsid w:val="00E87658"/>
    <w:rsid w:val="00E924F3"/>
    <w:rsid w:val="00E93120"/>
    <w:rsid w:val="00E94244"/>
    <w:rsid w:val="00E94CD1"/>
    <w:rsid w:val="00E9737F"/>
    <w:rsid w:val="00EA00F2"/>
    <w:rsid w:val="00EA14A7"/>
    <w:rsid w:val="00EA31A2"/>
    <w:rsid w:val="00EA31DD"/>
    <w:rsid w:val="00EA41AB"/>
    <w:rsid w:val="00EA4E01"/>
    <w:rsid w:val="00EA54F1"/>
    <w:rsid w:val="00EA5F1F"/>
    <w:rsid w:val="00EA663B"/>
    <w:rsid w:val="00EB0CB2"/>
    <w:rsid w:val="00EB2472"/>
    <w:rsid w:val="00EB3756"/>
    <w:rsid w:val="00EB4AF6"/>
    <w:rsid w:val="00EB5A34"/>
    <w:rsid w:val="00EB6E35"/>
    <w:rsid w:val="00EB711E"/>
    <w:rsid w:val="00EC037A"/>
    <w:rsid w:val="00EC1B31"/>
    <w:rsid w:val="00EC1D19"/>
    <w:rsid w:val="00EC37A9"/>
    <w:rsid w:val="00EC4597"/>
    <w:rsid w:val="00EC4D9B"/>
    <w:rsid w:val="00EC5FB1"/>
    <w:rsid w:val="00ED0885"/>
    <w:rsid w:val="00ED0C69"/>
    <w:rsid w:val="00ED1037"/>
    <w:rsid w:val="00ED2D26"/>
    <w:rsid w:val="00ED3533"/>
    <w:rsid w:val="00ED45AC"/>
    <w:rsid w:val="00ED463B"/>
    <w:rsid w:val="00ED5F5A"/>
    <w:rsid w:val="00ED7119"/>
    <w:rsid w:val="00ED7A2D"/>
    <w:rsid w:val="00EE0D6C"/>
    <w:rsid w:val="00EE2198"/>
    <w:rsid w:val="00EE29E4"/>
    <w:rsid w:val="00EE2D8B"/>
    <w:rsid w:val="00EE30BE"/>
    <w:rsid w:val="00EE37CA"/>
    <w:rsid w:val="00EE42C0"/>
    <w:rsid w:val="00EE4E26"/>
    <w:rsid w:val="00EE5399"/>
    <w:rsid w:val="00EE54E1"/>
    <w:rsid w:val="00EE7387"/>
    <w:rsid w:val="00EF069D"/>
    <w:rsid w:val="00EF13F2"/>
    <w:rsid w:val="00EF2728"/>
    <w:rsid w:val="00EF3022"/>
    <w:rsid w:val="00EF3A30"/>
    <w:rsid w:val="00EF3FFF"/>
    <w:rsid w:val="00EF6D14"/>
    <w:rsid w:val="00EF78EF"/>
    <w:rsid w:val="00EF7BCA"/>
    <w:rsid w:val="00EF7D11"/>
    <w:rsid w:val="00F002B7"/>
    <w:rsid w:val="00F00490"/>
    <w:rsid w:val="00F004CA"/>
    <w:rsid w:val="00F0071C"/>
    <w:rsid w:val="00F00BA6"/>
    <w:rsid w:val="00F011DB"/>
    <w:rsid w:val="00F01BB8"/>
    <w:rsid w:val="00F01F8B"/>
    <w:rsid w:val="00F02360"/>
    <w:rsid w:val="00F02E76"/>
    <w:rsid w:val="00F03BD7"/>
    <w:rsid w:val="00F03E9D"/>
    <w:rsid w:val="00F0419B"/>
    <w:rsid w:val="00F06D51"/>
    <w:rsid w:val="00F07218"/>
    <w:rsid w:val="00F077B5"/>
    <w:rsid w:val="00F07D13"/>
    <w:rsid w:val="00F07EEC"/>
    <w:rsid w:val="00F10ECA"/>
    <w:rsid w:val="00F1143D"/>
    <w:rsid w:val="00F11E72"/>
    <w:rsid w:val="00F12A26"/>
    <w:rsid w:val="00F12ABE"/>
    <w:rsid w:val="00F13731"/>
    <w:rsid w:val="00F13DD8"/>
    <w:rsid w:val="00F14D01"/>
    <w:rsid w:val="00F1587D"/>
    <w:rsid w:val="00F164C8"/>
    <w:rsid w:val="00F16538"/>
    <w:rsid w:val="00F16D0B"/>
    <w:rsid w:val="00F174D7"/>
    <w:rsid w:val="00F17553"/>
    <w:rsid w:val="00F2150E"/>
    <w:rsid w:val="00F21DD5"/>
    <w:rsid w:val="00F2203C"/>
    <w:rsid w:val="00F268B8"/>
    <w:rsid w:val="00F3042E"/>
    <w:rsid w:val="00F31D7C"/>
    <w:rsid w:val="00F331FC"/>
    <w:rsid w:val="00F34458"/>
    <w:rsid w:val="00F34FEB"/>
    <w:rsid w:val="00F352FF"/>
    <w:rsid w:val="00F35C07"/>
    <w:rsid w:val="00F36430"/>
    <w:rsid w:val="00F37003"/>
    <w:rsid w:val="00F37FE1"/>
    <w:rsid w:val="00F40339"/>
    <w:rsid w:val="00F40625"/>
    <w:rsid w:val="00F417F2"/>
    <w:rsid w:val="00F42565"/>
    <w:rsid w:val="00F42C0E"/>
    <w:rsid w:val="00F4322C"/>
    <w:rsid w:val="00F43AF0"/>
    <w:rsid w:val="00F43DB1"/>
    <w:rsid w:val="00F4441F"/>
    <w:rsid w:val="00F44B0A"/>
    <w:rsid w:val="00F45132"/>
    <w:rsid w:val="00F45C8C"/>
    <w:rsid w:val="00F4772B"/>
    <w:rsid w:val="00F50042"/>
    <w:rsid w:val="00F538CE"/>
    <w:rsid w:val="00F546EA"/>
    <w:rsid w:val="00F5490F"/>
    <w:rsid w:val="00F55B45"/>
    <w:rsid w:val="00F55EC4"/>
    <w:rsid w:val="00F5790B"/>
    <w:rsid w:val="00F57ACE"/>
    <w:rsid w:val="00F57DC6"/>
    <w:rsid w:val="00F6066B"/>
    <w:rsid w:val="00F60BC6"/>
    <w:rsid w:val="00F61045"/>
    <w:rsid w:val="00F610F6"/>
    <w:rsid w:val="00F61508"/>
    <w:rsid w:val="00F648A1"/>
    <w:rsid w:val="00F65EDE"/>
    <w:rsid w:val="00F66699"/>
    <w:rsid w:val="00F66B96"/>
    <w:rsid w:val="00F671F8"/>
    <w:rsid w:val="00F73379"/>
    <w:rsid w:val="00F75070"/>
    <w:rsid w:val="00F7539F"/>
    <w:rsid w:val="00F7694B"/>
    <w:rsid w:val="00F76C13"/>
    <w:rsid w:val="00F77CBD"/>
    <w:rsid w:val="00F77EE6"/>
    <w:rsid w:val="00F80895"/>
    <w:rsid w:val="00F8113F"/>
    <w:rsid w:val="00F8116F"/>
    <w:rsid w:val="00F813EC"/>
    <w:rsid w:val="00F81D59"/>
    <w:rsid w:val="00F821C1"/>
    <w:rsid w:val="00F823D4"/>
    <w:rsid w:val="00F83A77"/>
    <w:rsid w:val="00F8401F"/>
    <w:rsid w:val="00F84FED"/>
    <w:rsid w:val="00F857E8"/>
    <w:rsid w:val="00F859CB"/>
    <w:rsid w:val="00F86284"/>
    <w:rsid w:val="00F86432"/>
    <w:rsid w:val="00F86912"/>
    <w:rsid w:val="00F86B84"/>
    <w:rsid w:val="00F871EB"/>
    <w:rsid w:val="00F8729F"/>
    <w:rsid w:val="00F87947"/>
    <w:rsid w:val="00F90231"/>
    <w:rsid w:val="00F90FCA"/>
    <w:rsid w:val="00F91715"/>
    <w:rsid w:val="00F928E2"/>
    <w:rsid w:val="00F92E62"/>
    <w:rsid w:val="00F944C7"/>
    <w:rsid w:val="00F9554C"/>
    <w:rsid w:val="00F95A99"/>
    <w:rsid w:val="00F96509"/>
    <w:rsid w:val="00F96A69"/>
    <w:rsid w:val="00F970E9"/>
    <w:rsid w:val="00F9721D"/>
    <w:rsid w:val="00FA0973"/>
    <w:rsid w:val="00FA15DE"/>
    <w:rsid w:val="00FA196A"/>
    <w:rsid w:val="00FA28A1"/>
    <w:rsid w:val="00FA3B86"/>
    <w:rsid w:val="00FA4599"/>
    <w:rsid w:val="00FA4872"/>
    <w:rsid w:val="00FA5C97"/>
    <w:rsid w:val="00FA6A69"/>
    <w:rsid w:val="00FA6E92"/>
    <w:rsid w:val="00FA7249"/>
    <w:rsid w:val="00FA7749"/>
    <w:rsid w:val="00FA7E23"/>
    <w:rsid w:val="00FB03F4"/>
    <w:rsid w:val="00FB11C3"/>
    <w:rsid w:val="00FB16A4"/>
    <w:rsid w:val="00FB1712"/>
    <w:rsid w:val="00FB17BE"/>
    <w:rsid w:val="00FB1889"/>
    <w:rsid w:val="00FB22C8"/>
    <w:rsid w:val="00FB4065"/>
    <w:rsid w:val="00FB4B89"/>
    <w:rsid w:val="00FB4C42"/>
    <w:rsid w:val="00FB4DD7"/>
    <w:rsid w:val="00FC0649"/>
    <w:rsid w:val="00FC0FFC"/>
    <w:rsid w:val="00FC1135"/>
    <w:rsid w:val="00FC186A"/>
    <w:rsid w:val="00FC1974"/>
    <w:rsid w:val="00FC25F2"/>
    <w:rsid w:val="00FC2813"/>
    <w:rsid w:val="00FC29F5"/>
    <w:rsid w:val="00FC30F4"/>
    <w:rsid w:val="00FC42CC"/>
    <w:rsid w:val="00FC6489"/>
    <w:rsid w:val="00FC6C78"/>
    <w:rsid w:val="00FC6D8C"/>
    <w:rsid w:val="00FC7121"/>
    <w:rsid w:val="00FD15A4"/>
    <w:rsid w:val="00FD1C68"/>
    <w:rsid w:val="00FD262F"/>
    <w:rsid w:val="00FD2805"/>
    <w:rsid w:val="00FD3068"/>
    <w:rsid w:val="00FD4ADF"/>
    <w:rsid w:val="00FD4E7B"/>
    <w:rsid w:val="00FD5117"/>
    <w:rsid w:val="00FD51D3"/>
    <w:rsid w:val="00FD5777"/>
    <w:rsid w:val="00FD6600"/>
    <w:rsid w:val="00FD6ACB"/>
    <w:rsid w:val="00FE10F0"/>
    <w:rsid w:val="00FE252C"/>
    <w:rsid w:val="00FE2E57"/>
    <w:rsid w:val="00FE448A"/>
    <w:rsid w:val="00FE4F78"/>
    <w:rsid w:val="00FE56A3"/>
    <w:rsid w:val="00FE5DBA"/>
    <w:rsid w:val="00FF0E87"/>
    <w:rsid w:val="00FF1858"/>
    <w:rsid w:val="00FF3062"/>
    <w:rsid w:val="00FF3BDD"/>
    <w:rsid w:val="00FF3F89"/>
    <w:rsid w:val="00FF46D6"/>
    <w:rsid w:val="00FF47D8"/>
    <w:rsid w:val="00FF4E0C"/>
    <w:rsid w:val="00FF5521"/>
    <w:rsid w:val="00FF66D9"/>
    <w:rsid w:val="00FF6868"/>
    <w:rsid w:val="00FF6AC7"/>
    <w:rsid w:val="00FF7E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5DCAC"/>
  <w14:defaultImageDpi w14:val="32767"/>
  <w15:docId w15:val="{CAE0D8CB-545B-4847-ADD5-DDC5F90EB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F56"/>
    <w:rPr>
      <w:rFonts w:ascii="Times New Roman" w:eastAsia="Times New Roman" w:hAnsi="Times New Roman" w:cs="Times New Roman"/>
      <w:lang w:eastAsia="en-GB"/>
    </w:rPr>
  </w:style>
  <w:style w:type="paragraph" w:styleId="Heading2">
    <w:name w:val="heading 2"/>
    <w:basedOn w:val="Normal"/>
    <w:next w:val="Normal"/>
    <w:link w:val="Heading2Char"/>
    <w:uiPriority w:val="9"/>
    <w:unhideWhenUsed/>
    <w:qFormat/>
    <w:rsid w:val="00AE1EA1"/>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6D7"/>
    <w:pPr>
      <w:ind w:left="720"/>
      <w:contextualSpacing/>
    </w:pPr>
    <w:rPr>
      <w:rFonts w:asciiTheme="minorHAnsi" w:eastAsiaTheme="minorHAnsi" w:hAnsiTheme="minorHAnsi" w:cstheme="minorBidi"/>
      <w:lang w:eastAsia="en-US"/>
    </w:rPr>
  </w:style>
  <w:style w:type="character" w:customStyle="1" w:styleId="Heading2Char">
    <w:name w:val="Heading 2 Char"/>
    <w:basedOn w:val="DefaultParagraphFont"/>
    <w:link w:val="Heading2"/>
    <w:uiPriority w:val="9"/>
    <w:rsid w:val="00AE1EA1"/>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AE1EA1"/>
    <w:rPr>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741D9"/>
    <w:rPr>
      <w:sz w:val="18"/>
      <w:szCs w:val="18"/>
    </w:rPr>
  </w:style>
  <w:style w:type="character" w:customStyle="1" w:styleId="BalloonTextChar">
    <w:name w:val="Balloon Text Char"/>
    <w:basedOn w:val="DefaultParagraphFont"/>
    <w:link w:val="BalloonText"/>
    <w:uiPriority w:val="99"/>
    <w:semiHidden/>
    <w:rsid w:val="00C741D9"/>
    <w:rPr>
      <w:rFonts w:ascii="Times New Roman" w:hAnsi="Times New Roman" w:cs="Times New Roman"/>
      <w:sz w:val="18"/>
      <w:szCs w:val="18"/>
    </w:rPr>
  </w:style>
  <w:style w:type="character" w:styleId="Hyperlink">
    <w:name w:val="Hyperlink"/>
    <w:basedOn w:val="DefaultParagraphFont"/>
    <w:uiPriority w:val="99"/>
    <w:unhideWhenUsed/>
    <w:rsid w:val="006D709A"/>
    <w:rPr>
      <w:color w:val="0563C1" w:themeColor="hyperlink"/>
      <w:u w:val="single"/>
    </w:rPr>
  </w:style>
  <w:style w:type="character" w:customStyle="1" w:styleId="UnresolvedMention1">
    <w:name w:val="Unresolved Mention1"/>
    <w:basedOn w:val="DefaultParagraphFont"/>
    <w:uiPriority w:val="99"/>
    <w:rsid w:val="006D709A"/>
    <w:rPr>
      <w:color w:val="605E5C"/>
      <w:shd w:val="clear" w:color="auto" w:fill="E1DFDD"/>
    </w:rPr>
  </w:style>
  <w:style w:type="paragraph" w:styleId="Header">
    <w:name w:val="header"/>
    <w:basedOn w:val="Normal"/>
    <w:link w:val="HeaderChar"/>
    <w:uiPriority w:val="99"/>
    <w:unhideWhenUsed/>
    <w:rsid w:val="003E6991"/>
    <w:pPr>
      <w:tabs>
        <w:tab w:val="center" w:pos="4513"/>
        <w:tab w:val="right" w:pos="9026"/>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3E6991"/>
  </w:style>
  <w:style w:type="paragraph" w:styleId="Footer">
    <w:name w:val="footer"/>
    <w:basedOn w:val="Normal"/>
    <w:link w:val="FooterChar"/>
    <w:uiPriority w:val="99"/>
    <w:unhideWhenUsed/>
    <w:rsid w:val="003E6991"/>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3E6991"/>
  </w:style>
  <w:style w:type="character" w:styleId="FollowedHyperlink">
    <w:name w:val="FollowedHyperlink"/>
    <w:basedOn w:val="DefaultParagraphFont"/>
    <w:uiPriority w:val="99"/>
    <w:semiHidden/>
    <w:unhideWhenUsed/>
    <w:rsid w:val="00A96C8E"/>
    <w:rPr>
      <w:color w:val="954F72" w:themeColor="followedHyperlink"/>
      <w:u w:val="single"/>
    </w:rPr>
  </w:style>
  <w:style w:type="paragraph" w:styleId="NormalWeb">
    <w:name w:val="Normal (Web)"/>
    <w:basedOn w:val="Normal"/>
    <w:uiPriority w:val="99"/>
    <w:unhideWhenUsed/>
    <w:rsid w:val="001E6AD2"/>
    <w:pPr>
      <w:spacing w:before="100" w:beforeAutospacing="1" w:after="100" w:afterAutospacing="1"/>
    </w:pPr>
  </w:style>
  <w:style w:type="character" w:customStyle="1" w:styleId="apple-converted-space">
    <w:name w:val="apple-converted-space"/>
    <w:basedOn w:val="DefaultParagraphFont"/>
    <w:rsid w:val="00D02305"/>
  </w:style>
  <w:style w:type="paragraph" w:customStyle="1" w:styleId="p">
    <w:name w:val="p"/>
    <w:basedOn w:val="Normal"/>
    <w:rsid w:val="00D02305"/>
    <w:pPr>
      <w:spacing w:before="100" w:beforeAutospacing="1" w:after="100" w:afterAutospacing="1"/>
    </w:pPr>
  </w:style>
  <w:style w:type="table" w:customStyle="1" w:styleId="PlainTable31">
    <w:name w:val="Plain Table 31"/>
    <w:basedOn w:val="TableNormal"/>
    <w:uiPriority w:val="43"/>
    <w:rsid w:val="0058598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58598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Accent51">
    <w:name w:val="Grid Table 4 - Accent 51"/>
    <w:basedOn w:val="TableNormal"/>
    <w:uiPriority w:val="49"/>
    <w:rsid w:val="005A7D39"/>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numbering" w:customStyle="1" w:styleId="CurrentList1">
    <w:name w:val="Current List1"/>
    <w:uiPriority w:val="99"/>
    <w:rsid w:val="00C2023B"/>
    <w:pPr>
      <w:numPr>
        <w:numId w:val="23"/>
      </w:numPr>
    </w:pPr>
  </w:style>
  <w:style w:type="paragraph" w:styleId="NoSpacing">
    <w:name w:val="No Spacing"/>
    <w:uiPriority w:val="1"/>
    <w:qFormat/>
    <w:rsid w:val="00E409EB"/>
  </w:style>
  <w:style w:type="table" w:customStyle="1" w:styleId="GridTable41">
    <w:name w:val="Grid Table 41"/>
    <w:basedOn w:val="TableNormal"/>
    <w:uiPriority w:val="49"/>
    <w:rsid w:val="00363032"/>
    <w:rPr>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A64CC6"/>
    <w:rPr>
      <w:rFonts w:ascii="Times New Roman" w:eastAsia="Times New Roman" w:hAnsi="Times New Roman" w:cs="Times New Roman"/>
      <w:lang w:eastAsia="en-GB"/>
    </w:rPr>
  </w:style>
  <w:style w:type="character" w:customStyle="1" w:styleId="figure">
    <w:name w:val="figure"/>
    <w:basedOn w:val="DefaultParagraphFont"/>
    <w:rsid w:val="00166D65"/>
  </w:style>
  <w:style w:type="character" w:styleId="Emphasis">
    <w:name w:val="Emphasis"/>
    <w:basedOn w:val="DefaultParagraphFont"/>
    <w:uiPriority w:val="20"/>
    <w:qFormat/>
    <w:rsid w:val="00A71151"/>
    <w:rPr>
      <w:i/>
      <w:iCs/>
    </w:rPr>
  </w:style>
  <w:style w:type="character" w:styleId="Strong">
    <w:name w:val="Strong"/>
    <w:basedOn w:val="DefaultParagraphFont"/>
    <w:uiPriority w:val="22"/>
    <w:qFormat/>
    <w:rsid w:val="001B0F56"/>
    <w:rPr>
      <w:b/>
      <w:bCs/>
    </w:rPr>
  </w:style>
  <w:style w:type="character" w:styleId="CommentReference">
    <w:name w:val="annotation reference"/>
    <w:basedOn w:val="DefaultParagraphFont"/>
    <w:uiPriority w:val="99"/>
    <w:semiHidden/>
    <w:unhideWhenUsed/>
    <w:rsid w:val="00F87947"/>
    <w:rPr>
      <w:sz w:val="16"/>
      <w:szCs w:val="16"/>
    </w:rPr>
  </w:style>
  <w:style w:type="paragraph" w:styleId="CommentText">
    <w:name w:val="annotation text"/>
    <w:basedOn w:val="Normal"/>
    <w:link w:val="CommentTextChar"/>
    <w:uiPriority w:val="99"/>
    <w:semiHidden/>
    <w:unhideWhenUsed/>
    <w:rsid w:val="00F87947"/>
    <w:rPr>
      <w:sz w:val="20"/>
      <w:szCs w:val="20"/>
    </w:rPr>
  </w:style>
  <w:style w:type="character" w:customStyle="1" w:styleId="CommentTextChar">
    <w:name w:val="Comment Text Char"/>
    <w:basedOn w:val="DefaultParagraphFont"/>
    <w:link w:val="CommentText"/>
    <w:uiPriority w:val="99"/>
    <w:semiHidden/>
    <w:rsid w:val="00F8794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87947"/>
    <w:rPr>
      <w:b/>
      <w:bCs/>
    </w:rPr>
  </w:style>
  <w:style w:type="character" w:customStyle="1" w:styleId="CommentSubjectChar">
    <w:name w:val="Comment Subject Char"/>
    <w:basedOn w:val="CommentTextChar"/>
    <w:link w:val="CommentSubject"/>
    <w:uiPriority w:val="99"/>
    <w:semiHidden/>
    <w:rsid w:val="00F87947"/>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5414">
      <w:bodyDiv w:val="1"/>
      <w:marLeft w:val="0"/>
      <w:marRight w:val="0"/>
      <w:marTop w:val="0"/>
      <w:marBottom w:val="0"/>
      <w:divBdr>
        <w:top w:val="none" w:sz="0" w:space="0" w:color="auto"/>
        <w:left w:val="none" w:sz="0" w:space="0" w:color="auto"/>
        <w:bottom w:val="none" w:sz="0" w:space="0" w:color="auto"/>
        <w:right w:val="none" w:sz="0" w:space="0" w:color="auto"/>
      </w:divBdr>
    </w:div>
    <w:div w:id="29039467">
      <w:bodyDiv w:val="1"/>
      <w:marLeft w:val="0"/>
      <w:marRight w:val="0"/>
      <w:marTop w:val="0"/>
      <w:marBottom w:val="0"/>
      <w:divBdr>
        <w:top w:val="none" w:sz="0" w:space="0" w:color="auto"/>
        <w:left w:val="none" w:sz="0" w:space="0" w:color="auto"/>
        <w:bottom w:val="none" w:sz="0" w:space="0" w:color="auto"/>
        <w:right w:val="none" w:sz="0" w:space="0" w:color="auto"/>
      </w:divBdr>
    </w:div>
    <w:div w:id="113788329">
      <w:bodyDiv w:val="1"/>
      <w:marLeft w:val="0"/>
      <w:marRight w:val="0"/>
      <w:marTop w:val="0"/>
      <w:marBottom w:val="0"/>
      <w:divBdr>
        <w:top w:val="none" w:sz="0" w:space="0" w:color="auto"/>
        <w:left w:val="none" w:sz="0" w:space="0" w:color="auto"/>
        <w:bottom w:val="none" w:sz="0" w:space="0" w:color="auto"/>
        <w:right w:val="none" w:sz="0" w:space="0" w:color="auto"/>
      </w:divBdr>
    </w:div>
    <w:div w:id="229851740">
      <w:bodyDiv w:val="1"/>
      <w:marLeft w:val="0"/>
      <w:marRight w:val="0"/>
      <w:marTop w:val="0"/>
      <w:marBottom w:val="0"/>
      <w:divBdr>
        <w:top w:val="none" w:sz="0" w:space="0" w:color="auto"/>
        <w:left w:val="none" w:sz="0" w:space="0" w:color="auto"/>
        <w:bottom w:val="none" w:sz="0" w:space="0" w:color="auto"/>
        <w:right w:val="none" w:sz="0" w:space="0" w:color="auto"/>
      </w:divBdr>
      <w:divsChild>
        <w:div w:id="984317281">
          <w:marLeft w:val="0"/>
          <w:marRight w:val="0"/>
          <w:marTop w:val="0"/>
          <w:marBottom w:val="0"/>
          <w:divBdr>
            <w:top w:val="none" w:sz="0" w:space="0" w:color="auto"/>
            <w:left w:val="none" w:sz="0" w:space="0" w:color="auto"/>
            <w:bottom w:val="none" w:sz="0" w:space="0" w:color="auto"/>
            <w:right w:val="none" w:sz="0" w:space="0" w:color="auto"/>
          </w:divBdr>
          <w:divsChild>
            <w:div w:id="1112480501">
              <w:marLeft w:val="0"/>
              <w:marRight w:val="0"/>
              <w:marTop w:val="0"/>
              <w:marBottom w:val="0"/>
              <w:divBdr>
                <w:top w:val="none" w:sz="0" w:space="0" w:color="auto"/>
                <w:left w:val="none" w:sz="0" w:space="0" w:color="auto"/>
                <w:bottom w:val="none" w:sz="0" w:space="0" w:color="auto"/>
                <w:right w:val="none" w:sz="0" w:space="0" w:color="auto"/>
              </w:divBdr>
              <w:divsChild>
                <w:div w:id="1748265436">
                  <w:marLeft w:val="0"/>
                  <w:marRight w:val="0"/>
                  <w:marTop w:val="0"/>
                  <w:marBottom w:val="0"/>
                  <w:divBdr>
                    <w:top w:val="none" w:sz="0" w:space="0" w:color="auto"/>
                    <w:left w:val="none" w:sz="0" w:space="0" w:color="auto"/>
                    <w:bottom w:val="none" w:sz="0" w:space="0" w:color="auto"/>
                    <w:right w:val="none" w:sz="0" w:space="0" w:color="auto"/>
                  </w:divBdr>
                  <w:divsChild>
                    <w:div w:id="62805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340418">
      <w:bodyDiv w:val="1"/>
      <w:marLeft w:val="0"/>
      <w:marRight w:val="0"/>
      <w:marTop w:val="0"/>
      <w:marBottom w:val="0"/>
      <w:divBdr>
        <w:top w:val="none" w:sz="0" w:space="0" w:color="auto"/>
        <w:left w:val="none" w:sz="0" w:space="0" w:color="auto"/>
        <w:bottom w:val="none" w:sz="0" w:space="0" w:color="auto"/>
        <w:right w:val="none" w:sz="0" w:space="0" w:color="auto"/>
      </w:divBdr>
    </w:div>
    <w:div w:id="284239264">
      <w:bodyDiv w:val="1"/>
      <w:marLeft w:val="0"/>
      <w:marRight w:val="0"/>
      <w:marTop w:val="0"/>
      <w:marBottom w:val="0"/>
      <w:divBdr>
        <w:top w:val="none" w:sz="0" w:space="0" w:color="auto"/>
        <w:left w:val="none" w:sz="0" w:space="0" w:color="auto"/>
        <w:bottom w:val="none" w:sz="0" w:space="0" w:color="auto"/>
        <w:right w:val="none" w:sz="0" w:space="0" w:color="auto"/>
      </w:divBdr>
      <w:divsChild>
        <w:div w:id="2019194465">
          <w:marLeft w:val="0"/>
          <w:marRight w:val="0"/>
          <w:marTop w:val="0"/>
          <w:marBottom w:val="0"/>
          <w:divBdr>
            <w:top w:val="none" w:sz="0" w:space="0" w:color="auto"/>
            <w:left w:val="none" w:sz="0" w:space="0" w:color="auto"/>
            <w:bottom w:val="none" w:sz="0" w:space="0" w:color="auto"/>
            <w:right w:val="none" w:sz="0" w:space="0" w:color="auto"/>
          </w:divBdr>
          <w:divsChild>
            <w:div w:id="865756937">
              <w:marLeft w:val="0"/>
              <w:marRight w:val="0"/>
              <w:marTop w:val="0"/>
              <w:marBottom w:val="0"/>
              <w:divBdr>
                <w:top w:val="none" w:sz="0" w:space="0" w:color="auto"/>
                <w:left w:val="none" w:sz="0" w:space="0" w:color="auto"/>
                <w:bottom w:val="none" w:sz="0" w:space="0" w:color="auto"/>
                <w:right w:val="none" w:sz="0" w:space="0" w:color="auto"/>
              </w:divBdr>
              <w:divsChild>
                <w:div w:id="1679116251">
                  <w:marLeft w:val="0"/>
                  <w:marRight w:val="0"/>
                  <w:marTop w:val="0"/>
                  <w:marBottom w:val="0"/>
                  <w:divBdr>
                    <w:top w:val="none" w:sz="0" w:space="0" w:color="auto"/>
                    <w:left w:val="none" w:sz="0" w:space="0" w:color="auto"/>
                    <w:bottom w:val="none" w:sz="0" w:space="0" w:color="auto"/>
                    <w:right w:val="none" w:sz="0" w:space="0" w:color="auto"/>
                  </w:divBdr>
                  <w:divsChild>
                    <w:div w:id="3666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60295">
      <w:bodyDiv w:val="1"/>
      <w:marLeft w:val="0"/>
      <w:marRight w:val="0"/>
      <w:marTop w:val="0"/>
      <w:marBottom w:val="0"/>
      <w:divBdr>
        <w:top w:val="none" w:sz="0" w:space="0" w:color="auto"/>
        <w:left w:val="none" w:sz="0" w:space="0" w:color="auto"/>
        <w:bottom w:val="none" w:sz="0" w:space="0" w:color="auto"/>
        <w:right w:val="none" w:sz="0" w:space="0" w:color="auto"/>
      </w:divBdr>
      <w:divsChild>
        <w:div w:id="1537501051">
          <w:marLeft w:val="0"/>
          <w:marRight w:val="0"/>
          <w:marTop w:val="0"/>
          <w:marBottom w:val="0"/>
          <w:divBdr>
            <w:top w:val="none" w:sz="0" w:space="0" w:color="auto"/>
            <w:left w:val="none" w:sz="0" w:space="0" w:color="auto"/>
            <w:bottom w:val="none" w:sz="0" w:space="0" w:color="auto"/>
            <w:right w:val="none" w:sz="0" w:space="0" w:color="auto"/>
          </w:divBdr>
          <w:divsChild>
            <w:div w:id="1558780528">
              <w:marLeft w:val="0"/>
              <w:marRight w:val="0"/>
              <w:marTop w:val="0"/>
              <w:marBottom w:val="0"/>
              <w:divBdr>
                <w:top w:val="none" w:sz="0" w:space="0" w:color="auto"/>
                <w:left w:val="none" w:sz="0" w:space="0" w:color="auto"/>
                <w:bottom w:val="none" w:sz="0" w:space="0" w:color="auto"/>
                <w:right w:val="none" w:sz="0" w:space="0" w:color="auto"/>
              </w:divBdr>
              <w:divsChild>
                <w:div w:id="141158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392019">
      <w:bodyDiv w:val="1"/>
      <w:marLeft w:val="0"/>
      <w:marRight w:val="0"/>
      <w:marTop w:val="0"/>
      <w:marBottom w:val="0"/>
      <w:divBdr>
        <w:top w:val="none" w:sz="0" w:space="0" w:color="auto"/>
        <w:left w:val="none" w:sz="0" w:space="0" w:color="auto"/>
        <w:bottom w:val="none" w:sz="0" w:space="0" w:color="auto"/>
        <w:right w:val="none" w:sz="0" w:space="0" w:color="auto"/>
      </w:divBdr>
    </w:div>
    <w:div w:id="325255660">
      <w:bodyDiv w:val="1"/>
      <w:marLeft w:val="0"/>
      <w:marRight w:val="0"/>
      <w:marTop w:val="0"/>
      <w:marBottom w:val="0"/>
      <w:divBdr>
        <w:top w:val="none" w:sz="0" w:space="0" w:color="auto"/>
        <w:left w:val="none" w:sz="0" w:space="0" w:color="auto"/>
        <w:bottom w:val="none" w:sz="0" w:space="0" w:color="auto"/>
        <w:right w:val="none" w:sz="0" w:space="0" w:color="auto"/>
      </w:divBdr>
    </w:div>
    <w:div w:id="328099023">
      <w:bodyDiv w:val="1"/>
      <w:marLeft w:val="0"/>
      <w:marRight w:val="0"/>
      <w:marTop w:val="0"/>
      <w:marBottom w:val="0"/>
      <w:divBdr>
        <w:top w:val="none" w:sz="0" w:space="0" w:color="auto"/>
        <w:left w:val="none" w:sz="0" w:space="0" w:color="auto"/>
        <w:bottom w:val="none" w:sz="0" w:space="0" w:color="auto"/>
        <w:right w:val="none" w:sz="0" w:space="0" w:color="auto"/>
      </w:divBdr>
    </w:div>
    <w:div w:id="331376905">
      <w:bodyDiv w:val="1"/>
      <w:marLeft w:val="0"/>
      <w:marRight w:val="0"/>
      <w:marTop w:val="0"/>
      <w:marBottom w:val="0"/>
      <w:divBdr>
        <w:top w:val="none" w:sz="0" w:space="0" w:color="auto"/>
        <w:left w:val="none" w:sz="0" w:space="0" w:color="auto"/>
        <w:bottom w:val="none" w:sz="0" w:space="0" w:color="auto"/>
        <w:right w:val="none" w:sz="0" w:space="0" w:color="auto"/>
      </w:divBdr>
    </w:div>
    <w:div w:id="331951668">
      <w:bodyDiv w:val="1"/>
      <w:marLeft w:val="0"/>
      <w:marRight w:val="0"/>
      <w:marTop w:val="0"/>
      <w:marBottom w:val="0"/>
      <w:divBdr>
        <w:top w:val="none" w:sz="0" w:space="0" w:color="auto"/>
        <w:left w:val="none" w:sz="0" w:space="0" w:color="auto"/>
        <w:bottom w:val="none" w:sz="0" w:space="0" w:color="auto"/>
        <w:right w:val="none" w:sz="0" w:space="0" w:color="auto"/>
      </w:divBdr>
    </w:div>
    <w:div w:id="335575505">
      <w:bodyDiv w:val="1"/>
      <w:marLeft w:val="0"/>
      <w:marRight w:val="0"/>
      <w:marTop w:val="0"/>
      <w:marBottom w:val="0"/>
      <w:divBdr>
        <w:top w:val="none" w:sz="0" w:space="0" w:color="auto"/>
        <w:left w:val="none" w:sz="0" w:space="0" w:color="auto"/>
        <w:bottom w:val="none" w:sz="0" w:space="0" w:color="auto"/>
        <w:right w:val="none" w:sz="0" w:space="0" w:color="auto"/>
      </w:divBdr>
      <w:divsChild>
        <w:div w:id="1152940515">
          <w:marLeft w:val="0"/>
          <w:marRight w:val="0"/>
          <w:marTop w:val="0"/>
          <w:marBottom w:val="0"/>
          <w:divBdr>
            <w:top w:val="none" w:sz="0" w:space="0" w:color="auto"/>
            <w:left w:val="none" w:sz="0" w:space="0" w:color="auto"/>
            <w:bottom w:val="none" w:sz="0" w:space="0" w:color="auto"/>
            <w:right w:val="none" w:sz="0" w:space="0" w:color="auto"/>
          </w:divBdr>
          <w:divsChild>
            <w:div w:id="1339775100">
              <w:marLeft w:val="0"/>
              <w:marRight w:val="0"/>
              <w:marTop w:val="0"/>
              <w:marBottom w:val="0"/>
              <w:divBdr>
                <w:top w:val="none" w:sz="0" w:space="0" w:color="auto"/>
                <w:left w:val="none" w:sz="0" w:space="0" w:color="auto"/>
                <w:bottom w:val="none" w:sz="0" w:space="0" w:color="auto"/>
                <w:right w:val="none" w:sz="0" w:space="0" w:color="auto"/>
              </w:divBdr>
              <w:divsChild>
                <w:div w:id="2118019335">
                  <w:marLeft w:val="0"/>
                  <w:marRight w:val="0"/>
                  <w:marTop w:val="0"/>
                  <w:marBottom w:val="0"/>
                  <w:divBdr>
                    <w:top w:val="none" w:sz="0" w:space="0" w:color="auto"/>
                    <w:left w:val="none" w:sz="0" w:space="0" w:color="auto"/>
                    <w:bottom w:val="none" w:sz="0" w:space="0" w:color="auto"/>
                    <w:right w:val="none" w:sz="0" w:space="0" w:color="auto"/>
                  </w:divBdr>
                </w:div>
              </w:divsChild>
            </w:div>
            <w:div w:id="1936282458">
              <w:marLeft w:val="0"/>
              <w:marRight w:val="0"/>
              <w:marTop w:val="0"/>
              <w:marBottom w:val="0"/>
              <w:divBdr>
                <w:top w:val="none" w:sz="0" w:space="0" w:color="auto"/>
                <w:left w:val="none" w:sz="0" w:space="0" w:color="auto"/>
                <w:bottom w:val="none" w:sz="0" w:space="0" w:color="auto"/>
                <w:right w:val="none" w:sz="0" w:space="0" w:color="auto"/>
              </w:divBdr>
              <w:divsChild>
                <w:div w:id="89662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725838">
      <w:bodyDiv w:val="1"/>
      <w:marLeft w:val="0"/>
      <w:marRight w:val="0"/>
      <w:marTop w:val="0"/>
      <w:marBottom w:val="0"/>
      <w:divBdr>
        <w:top w:val="none" w:sz="0" w:space="0" w:color="auto"/>
        <w:left w:val="none" w:sz="0" w:space="0" w:color="auto"/>
        <w:bottom w:val="none" w:sz="0" w:space="0" w:color="auto"/>
        <w:right w:val="none" w:sz="0" w:space="0" w:color="auto"/>
      </w:divBdr>
    </w:div>
    <w:div w:id="369646497">
      <w:bodyDiv w:val="1"/>
      <w:marLeft w:val="0"/>
      <w:marRight w:val="0"/>
      <w:marTop w:val="0"/>
      <w:marBottom w:val="0"/>
      <w:divBdr>
        <w:top w:val="none" w:sz="0" w:space="0" w:color="auto"/>
        <w:left w:val="none" w:sz="0" w:space="0" w:color="auto"/>
        <w:bottom w:val="none" w:sz="0" w:space="0" w:color="auto"/>
        <w:right w:val="none" w:sz="0" w:space="0" w:color="auto"/>
      </w:divBdr>
    </w:div>
    <w:div w:id="415907224">
      <w:bodyDiv w:val="1"/>
      <w:marLeft w:val="0"/>
      <w:marRight w:val="0"/>
      <w:marTop w:val="0"/>
      <w:marBottom w:val="0"/>
      <w:divBdr>
        <w:top w:val="none" w:sz="0" w:space="0" w:color="auto"/>
        <w:left w:val="none" w:sz="0" w:space="0" w:color="auto"/>
        <w:bottom w:val="none" w:sz="0" w:space="0" w:color="auto"/>
        <w:right w:val="none" w:sz="0" w:space="0" w:color="auto"/>
      </w:divBdr>
    </w:div>
    <w:div w:id="417991725">
      <w:bodyDiv w:val="1"/>
      <w:marLeft w:val="0"/>
      <w:marRight w:val="0"/>
      <w:marTop w:val="0"/>
      <w:marBottom w:val="0"/>
      <w:divBdr>
        <w:top w:val="none" w:sz="0" w:space="0" w:color="auto"/>
        <w:left w:val="none" w:sz="0" w:space="0" w:color="auto"/>
        <w:bottom w:val="none" w:sz="0" w:space="0" w:color="auto"/>
        <w:right w:val="none" w:sz="0" w:space="0" w:color="auto"/>
      </w:divBdr>
    </w:div>
    <w:div w:id="513961653">
      <w:bodyDiv w:val="1"/>
      <w:marLeft w:val="0"/>
      <w:marRight w:val="0"/>
      <w:marTop w:val="0"/>
      <w:marBottom w:val="0"/>
      <w:divBdr>
        <w:top w:val="none" w:sz="0" w:space="0" w:color="auto"/>
        <w:left w:val="none" w:sz="0" w:space="0" w:color="auto"/>
        <w:bottom w:val="none" w:sz="0" w:space="0" w:color="auto"/>
        <w:right w:val="none" w:sz="0" w:space="0" w:color="auto"/>
      </w:divBdr>
    </w:div>
    <w:div w:id="526606473">
      <w:bodyDiv w:val="1"/>
      <w:marLeft w:val="0"/>
      <w:marRight w:val="0"/>
      <w:marTop w:val="0"/>
      <w:marBottom w:val="0"/>
      <w:divBdr>
        <w:top w:val="none" w:sz="0" w:space="0" w:color="auto"/>
        <w:left w:val="none" w:sz="0" w:space="0" w:color="auto"/>
        <w:bottom w:val="none" w:sz="0" w:space="0" w:color="auto"/>
        <w:right w:val="none" w:sz="0" w:space="0" w:color="auto"/>
      </w:divBdr>
      <w:divsChild>
        <w:div w:id="164521306">
          <w:marLeft w:val="0"/>
          <w:marRight w:val="0"/>
          <w:marTop w:val="0"/>
          <w:marBottom w:val="0"/>
          <w:divBdr>
            <w:top w:val="none" w:sz="0" w:space="0" w:color="auto"/>
            <w:left w:val="none" w:sz="0" w:space="0" w:color="auto"/>
            <w:bottom w:val="none" w:sz="0" w:space="0" w:color="auto"/>
            <w:right w:val="none" w:sz="0" w:space="0" w:color="auto"/>
          </w:divBdr>
        </w:div>
        <w:div w:id="1413044986">
          <w:marLeft w:val="0"/>
          <w:marRight w:val="0"/>
          <w:marTop w:val="0"/>
          <w:marBottom w:val="0"/>
          <w:divBdr>
            <w:top w:val="none" w:sz="0" w:space="0" w:color="auto"/>
            <w:left w:val="none" w:sz="0" w:space="0" w:color="auto"/>
            <w:bottom w:val="none" w:sz="0" w:space="0" w:color="auto"/>
            <w:right w:val="none" w:sz="0" w:space="0" w:color="auto"/>
          </w:divBdr>
        </w:div>
        <w:div w:id="1049574525">
          <w:marLeft w:val="0"/>
          <w:marRight w:val="0"/>
          <w:marTop w:val="0"/>
          <w:marBottom w:val="0"/>
          <w:divBdr>
            <w:top w:val="none" w:sz="0" w:space="0" w:color="auto"/>
            <w:left w:val="none" w:sz="0" w:space="0" w:color="auto"/>
            <w:bottom w:val="none" w:sz="0" w:space="0" w:color="auto"/>
            <w:right w:val="none" w:sz="0" w:space="0" w:color="auto"/>
          </w:divBdr>
        </w:div>
      </w:divsChild>
    </w:div>
    <w:div w:id="539588701">
      <w:bodyDiv w:val="1"/>
      <w:marLeft w:val="0"/>
      <w:marRight w:val="0"/>
      <w:marTop w:val="0"/>
      <w:marBottom w:val="0"/>
      <w:divBdr>
        <w:top w:val="none" w:sz="0" w:space="0" w:color="auto"/>
        <w:left w:val="none" w:sz="0" w:space="0" w:color="auto"/>
        <w:bottom w:val="none" w:sz="0" w:space="0" w:color="auto"/>
        <w:right w:val="none" w:sz="0" w:space="0" w:color="auto"/>
      </w:divBdr>
    </w:div>
    <w:div w:id="567110629">
      <w:bodyDiv w:val="1"/>
      <w:marLeft w:val="0"/>
      <w:marRight w:val="0"/>
      <w:marTop w:val="0"/>
      <w:marBottom w:val="0"/>
      <w:divBdr>
        <w:top w:val="none" w:sz="0" w:space="0" w:color="auto"/>
        <w:left w:val="none" w:sz="0" w:space="0" w:color="auto"/>
        <w:bottom w:val="none" w:sz="0" w:space="0" w:color="auto"/>
        <w:right w:val="none" w:sz="0" w:space="0" w:color="auto"/>
      </w:divBdr>
    </w:div>
    <w:div w:id="648558067">
      <w:bodyDiv w:val="1"/>
      <w:marLeft w:val="0"/>
      <w:marRight w:val="0"/>
      <w:marTop w:val="0"/>
      <w:marBottom w:val="0"/>
      <w:divBdr>
        <w:top w:val="none" w:sz="0" w:space="0" w:color="auto"/>
        <w:left w:val="none" w:sz="0" w:space="0" w:color="auto"/>
        <w:bottom w:val="none" w:sz="0" w:space="0" w:color="auto"/>
        <w:right w:val="none" w:sz="0" w:space="0" w:color="auto"/>
      </w:divBdr>
    </w:div>
    <w:div w:id="654603334">
      <w:bodyDiv w:val="1"/>
      <w:marLeft w:val="0"/>
      <w:marRight w:val="0"/>
      <w:marTop w:val="0"/>
      <w:marBottom w:val="0"/>
      <w:divBdr>
        <w:top w:val="none" w:sz="0" w:space="0" w:color="auto"/>
        <w:left w:val="none" w:sz="0" w:space="0" w:color="auto"/>
        <w:bottom w:val="none" w:sz="0" w:space="0" w:color="auto"/>
        <w:right w:val="none" w:sz="0" w:space="0" w:color="auto"/>
      </w:divBdr>
      <w:divsChild>
        <w:div w:id="815607295">
          <w:marLeft w:val="0"/>
          <w:marRight w:val="0"/>
          <w:marTop w:val="0"/>
          <w:marBottom w:val="0"/>
          <w:divBdr>
            <w:top w:val="none" w:sz="0" w:space="0" w:color="auto"/>
            <w:left w:val="none" w:sz="0" w:space="0" w:color="auto"/>
            <w:bottom w:val="none" w:sz="0" w:space="0" w:color="auto"/>
            <w:right w:val="none" w:sz="0" w:space="0" w:color="auto"/>
          </w:divBdr>
          <w:divsChild>
            <w:div w:id="1339386171">
              <w:marLeft w:val="0"/>
              <w:marRight w:val="0"/>
              <w:marTop w:val="0"/>
              <w:marBottom w:val="0"/>
              <w:divBdr>
                <w:top w:val="none" w:sz="0" w:space="0" w:color="auto"/>
                <w:left w:val="none" w:sz="0" w:space="0" w:color="auto"/>
                <w:bottom w:val="none" w:sz="0" w:space="0" w:color="auto"/>
                <w:right w:val="none" w:sz="0" w:space="0" w:color="auto"/>
              </w:divBdr>
              <w:divsChild>
                <w:div w:id="41728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06151">
      <w:bodyDiv w:val="1"/>
      <w:marLeft w:val="0"/>
      <w:marRight w:val="0"/>
      <w:marTop w:val="0"/>
      <w:marBottom w:val="0"/>
      <w:divBdr>
        <w:top w:val="none" w:sz="0" w:space="0" w:color="auto"/>
        <w:left w:val="none" w:sz="0" w:space="0" w:color="auto"/>
        <w:bottom w:val="none" w:sz="0" w:space="0" w:color="auto"/>
        <w:right w:val="none" w:sz="0" w:space="0" w:color="auto"/>
      </w:divBdr>
    </w:div>
    <w:div w:id="667440154">
      <w:bodyDiv w:val="1"/>
      <w:marLeft w:val="0"/>
      <w:marRight w:val="0"/>
      <w:marTop w:val="0"/>
      <w:marBottom w:val="0"/>
      <w:divBdr>
        <w:top w:val="none" w:sz="0" w:space="0" w:color="auto"/>
        <w:left w:val="none" w:sz="0" w:space="0" w:color="auto"/>
        <w:bottom w:val="none" w:sz="0" w:space="0" w:color="auto"/>
        <w:right w:val="none" w:sz="0" w:space="0" w:color="auto"/>
      </w:divBdr>
    </w:div>
    <w:div w:id="698093976">
      <w:bodyDiv w:val="1"/>
      <w:marLeft w:val="0"/>
      <w:marRight w:val="0"/>
      <w:marTop w:val="0"/>
      <w:marBottom w:val="0"/>
      <w:divBdr>
        <w:top w:val="none" w:sz="0" w:space="0" w:color="auto"/>
        <w:left w:val="none" w:sz="0" w:space="0" w:color="auto"/>
        <w:bottom w:val="none" w:sz="0" w:space="0" w:color="auto"/>
        <w:right w:val="none" w:sz="0" w:space="0" w:color="auto"/>
      </w:divBdr>
    </w:div>
    <w:div w:id="716320380">
      <w:bodyDiv w:val="1"/>
      <w:marLeft w:val="0"/>
      <w:marRight w:val="0"/>
      <w:marTop w:val="0"/>
      <w:marBottom w:val="0"/>
      <w:divBdr>
        <w:top w:val="none" w:sz="0" w:space="0" w:color="auto"/>
        <w:left w:val="none" w:sz="0" w:space="0" w:color="auto"/>
        <w:bottom w:val="none" w:sz="0" w:space="0" w:color="auto"/>
        <w:right w:val="none" w:sz="0" w:space="0" w:color="auto"/>
      </w:divBdr>
    </w:div>
    <w:div w:id="727655430">
      <w:bodyDiv w:val="1"/>
      <w:marLeft w:val="0"/>
      <w:marRight w:val="0"/>
      <w:marTop w:val="0"/>
      <w:marBottom w:val="0"/>
      <w:divBdr>
        <w:top w:val="none" w:sz="0" w:space="0" w:color="auto"/>
        <w:left w:val="none" w:sz="0" w:space="0" w:color="auto"/>
        <w:bottom w:val="none" w:sz="0" w:space="0" w:color="auto"/>
        <w:right w:val="none" w:sz="0" w:space="0" w:color="auto"/>
      </w:divBdr>
    </w:div>
    <w:div w:id="766659273">
      <w:bodyDiv w:val="1"/>
      <w:marLeft w:val="0"/>
      <w:marRight w:val="0"/>
      <w:marTop w:val="0"/>
      <w:marBottom w:val="0"/>
      <w:divBdr>
        <w:top w:val="none" w:sz="0" w:space="0" w:color="auto"/>
        <w:left w:val="none" w:sz="0" w:space="0" w:color="auto"/>
        <w:bottom w:val="none" w:sz="0" w:space="0" w:color="auto"/>
        <w:right w:val="none" w:sz="0" w:space="0" w:color="auto"/>
      </w:divBdr>
    </w:div>
    <w:div w:id="807011091">
      <w:bodyDiv w:val="1"/>
      <w:marLeft w:val="0"/>
      <w:marRight w:val="0"/>
      <w:marTop w:val="0"/>
      <w:marBottom w:val="0"/>
      <w:divBdr>
        <w:top w:val="none" w:sz="0" w:space="0" w:color="auto"/>
        <w:left w:val="none" w:sz="0" w:space="0" w:color="auto"/>
        <w:bottom w:val="none" w:sz="0" w:space="0" w:color="auto"/>
        <w:right w:val="none" w:sz="0" w:space="0" w:color="auto"/>
      </w:divBdr>
      <w:divsChild>
        <w:div w:id="707880765">
          <w:marLeft w:val="0"/>
          <w:marRight w:val="0"/>
          <w:marTop w:val="0"/>
          <w:marBottom w:val="0"/>
          <w:divBdr>
            <w:top w:val="none" w:sz="0" w:space="0" w:color="auto"/>
            <w:left w:val="none" w:sz="0" w:space="0" w:color="auto"/>
            <w:bottom w:val="none" w:sz="0" w:space="0" w:color="auto"/>
            <w:right w:val="none" w:sz="0" w:space="0" w:color="auto"/>
          </w:divBdr>
          <w:divsChild>
            <w:div w:id="1788042738">
              <w:marLeft w:val="0"/>
              <w:marRight w:val="0"/>
              <w:marTop w:val="0"/>
              <w:marBottom w:val="0"/>
              <w:divBdr>
                <w:top w:val="none" w:sz="0" w:space="0" w:color="auto"/>
                <w:left w:val="none" w:sz="0" w:space="0" w:color="auto"/>
                <w:bottom w:val="none" w:sz="0" w:space="0" w:color="auto"/>
                <w:right w:val="none" w:sz="0" w:space="0" w:color="auto"/>
              </w:divBdr>
              <w:divsChild>
                <w:div w:id="710571573">
                  <w:marLeft w:val="0"/>
                  <w:marRight w:val="0"/>
                  <w:marTop w:val="0"/>
                  <w:marBottom w:val="0"/>
                  <w:divBdr>
                    <w:top w:val="none" w:sz="0" w:space="0" w:color="auto"/>
                    <w:left w:val="none" w:sz="0" w:space="0" w:color="auto"/>
                    <w:bottom w:val="none" w:sz="0" w:space="0" w:color="auto"/>
                    <w:right w:val="none" w:sz="0" w:space="0" w:color="auto"/>
                  </w:divBdr>
                  <w:divsChild>
                    <w:div w:id="14759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808165">
      <w:bodyDiv w:val="1"/>
      <w:marLeft w:val="0"/>
      <w:marRight w:val="0"/>
      <w:marTop w:val="0"/>
      <w:marBottom w:val="0"/>
      <w:divBdr>
        <w:top w:val="none" w:sz="0" w:space="0" w:color="auto"/>
        <w:left w:val="none" w:sz="0" w:space="0" w:color="auto"/>
        <w:bottom w:val="none" w:sz="0" w:space="0" w:color="auto"/>
        <w:right w:val="none" w:sz="0" w:space="0" w:color="auto"/>
      </w:divBdr>
    </w:div>
    <w:div w:id="874580349">
      <w:bodyDiv w:val="1"/>
      <w:marLeft w:val="0"/>
      <w:marRight w:val="0"/>
      <w:marTop w:val="0"/>
      <w:marBottom w:val="0"/>
      <w:divBdr>
        <w:top w:val="none" w:sz="0" w:space="0" w:color="auto"/>
        <w:left w:val="none" w:sz="0" w:space="0" w:color="auto"/>
        <w:bottom w:val="none" w:sz="0" w:space="0" w:color="auto"/>
        <w:right w:val="none" w:sz="0" w:space="0" w:color="auto"/>
      </w:divBdr>
      <w:divsChild>
        <w:div w:id="1389186034">
          <w:marLeft w:val="0"/>
          <w:marRight w:val="0"/>
          <w:marTop w:val="0"/>
          <w:marBottom w:val="0"/>
          <w:divBdr>
            <w:top w:val="none" w:sz="0" w:space="0" w:color="auto"/>
            <w:left w:val="none" w:sz="0" w:space="0" w:color="auto"/>
            <w:bottom w:val="none" w:sz="0" w:space="0" w:color="auto"/>
            <w:right w:val="none" w:sz="0" w:space="0" w:color="auto"/>
          </w:divBdr>
          <w:divsChild>
            <w:div w:id="1209344488">
              <w:marLeft w:val="0"/>
              <w:marRight w:val="0"/>
              <w:marTop w:val="0"/>
              <w:marBottom w:val="0"/>
              <w:divBdr>
                <w:top w:val="none" w:sz="0" w:space="0" w:color="auto"/>
                <w:left w:val="none" w:sz="0" w:space="0" w:color="auto"/>
                <w:bottom w:val="none" w:sz="0" w:space="0" w:color="auto"/>
                <w:right w:val="none" w:sz="0" w:space="0" w:color="auto"/>
              </w:divBdr>
              <w:divsChild>
                <w:div w:id="1660041562">
                  <w:marLeft w:val="0"/>
                  <w:marRight w:val="0"/>
                  <w:marTop w:val="0"/>
                  <w:marBottom w:val="0"/>
                  <w:divBdr>
                    <w:top w:val="none" w:sz="0" w:space="0" w:color="auto"/>
                    <w:left w:val="none" w:sz="0" w:space="0" w:color="auto"/>
                    <w:bottom w:val="none" w:sz="0" w:space="0" w:color="auto"/>
                    <w:right w:val="none" w:sz="0" w:space="0" w:color="auto"/>
                  </w:divBdr>
                  <w:divsChild>
                    <w:div w:id="12744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595556">
      <w:bodyDiv w:val="1"/>
      <w:marLeft w:val="0"/>
      <w:marRight w:val="0"/>
      <w:marTop w:val="0"/>
      <w:marBottom w:val="0"/>
      <w:divBdr>
        <w:top w:val="none" w:sz="0" w:space="0" w:color="auto"/>
        <w:left w:val="none" w:sz="0" w:space="0" w:color="auto"/>
        <w:bottom w:val="none" w:sz="0" w:space="0" w:color="auto"/>
        <w:right w:val="none" w:sz="0" w:space="0" w:color="auto"/>
      </w:divBdr>
      <w:divsChild>
        <w:div w:id="1421218909">
          <w:marLeft w:val="0"/>
          <w:marRight w:val="0"/>
          <w:marTop w:val="0"/>
          <w:marBottom w:val="0"/>
          <w:divBdr>
            <w:top w:val="none" w:sz="0" w:space="0" w:color="auto"/>
            <w:left w:val="none" w:sz="0" w:space="0" w:color="auto"/>
            <w:bottom w:val="none" w:sz="0" w:space="0" w:color="auto"/>
            <w:right w:val="none" w:sz="0" w:space="0" w:color="auto"/>
          </w:divBdr>
          <w:divsChild>
            <w:div w:id="1050879828">
              <w:marLeft w:val="0"/>
              <w:marRight w:val="0"/>
              <w:marTop w:val="0"/>
              <w:marBottom w:val="0"/>
              <w:divBdr>
                <w:top w:val="none" w:sz="0" w:space="0" w:color="auto"/>
                <w:left w:val="none" w:sz="0" w:space="0" w:color="auto"/>
                <w:bottom w:val="none" w:sz="0" w:space="0" w:color="auto"/>
                <w:right w:val="none" w:sz="0" w:space="0" w:color="auto"/>
              </w:divBdr>
              <w:divsChild>
                <w:div w:id="915555798">
                  <w:marLeft w:val="0"/>
                  <w:marRight w:val="0"/>
                  <w:marTop w:val="0"/>
                  <w:marBottom w:val="0"/>
                  <w:divBdr>
                    <w:top w:val="none" w:sz="0" w:space="0" w:color="auto"/>
                    <w:left w:val="none" w:sz="0" w:space="0" w:color="auto"/>
                    <w:bottom w:val="none" w:sz="0" w:space="0" w:color="auto"/>
                    <w:right w:val="none" w:sz="0" w:space="0" w:color="auto"/>
                  </w:divBdr>
                  <w:divsChild>
                    <w:div w:id="88240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522493">
      <w:bodyDiv w:val="1"/>
      <w:marLeft w:val="0"/>
      <w:marRight w:val="0"/>
      <w:marTop w:val="0"/>
      <w:marBottom w:val="0"/>
      <w:divBdr>
        <w:top w:val="none" w:sz="0" w:space="0" w:color="auto"/>
        <w:left w:val="none" w:sz="0" w:space="0" w:color="auto"/>
        <w:bottom w:val="none" w:sz="0" w:space="0" w:color="auto"/>
        <w:right w:val="none" w:sz="0" w:space="0" w:color="auto"/>
      </w:divBdr>
    </w:div>
    <w:div w:id="967319218">
      <w:bodyDiv w:val="1"/>
      <w:marLeft w:val="0"/>
      <w:marRight w:val="0"/>
      <w:marTop w:val="0"/>
      <w:marBottom w:val="0"/>
      <w:divBdr>
        <w:top w:val="none" w:sz="0" w:space="0" w:color="auto"/>
        <w:left w:val="none" w:sz="0" w:space="0" w:color="auto"/>
        <w:bottom w:val="none" w:sz="0" w:space="0" w:color="auto"/>
        <w:right w:val="none" w:sz="0" w:space="0" w:color="auto"/>
      </w:divBdr>
      <w:divsChild>
        <w:div w:id="1309506854">
          <w:marLeft w:val="0"/>
          <w:marRight w:val="0"/>
          <w:marTop w:val="0"/>
          <w:marBottom w:val="0"/>
          <w:divBdr>
            <w:top w:val="none" w:sz="0" w:space="0" w:color="auto"/>
            <w:left w:val="none" w:sz="0" w:space="0" w:color="auto"/>
            <w:bottom w:val="none" w:sz="0" w:space="0" w:color="auto"/>
            <w:right w:val="none" w:sz="0" w:space="0" w:color="auto"/>
          </w:divBdr>
          <w:divsChild>
            <w:div w:id="1314986081">
              <w:marLeft w:val="0"/>
              <w:marRight w:val="0"/>
              <w:marTop w:val="0"/>
              <w:marBottom w:val="0"/>
              <w:divBdr>
                <w:top w:val="none" w:sz="0" w:space="0" w:color="auto"/>
                <w:left w:val="none" w:sz="0" w:space="0" w:color="auto"/>
                <w:bottom w:val="none" w:sz="0" w:space="0" w:color="auto"/>
                <w:right w:val="none" w:sz="0" w:space="0" w:color="auto"/>
              </w:divBdr>
              <w:divsChild>
                <w:div w:id="1471359601">
                  <w:marLeft w:val="0"/>
                  <w:marRight w:val="0"/>
                  <w:marTop w:val="0"/>
                  <w:marBottom w:val="0"/>
                  <w:divBdr>
                    <w:top w:val="none" w:sz="0" w:space="0" w:color="auto"/>
                    <w:left w:val="none" w:sz="0" w:space="0" w:color="auto"/>
                    <w:bottom w:val="none" w:sz="0" w:space="0" w:color="auto"/>
                    <w:right w:val="none" w:sz="0" w:space="0" w:color="auto"/>
                  </w:divBdr>
                  <w:divsChild>
                    <w:div w:id="151553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291908">
      <w:bodyDiv w:val="1"/>
      <w:marLeft w:val="0"/>
      <w:marRight w:val="0"/>
      <w:marTop w:val="0"/>
      <w:marBottom w:val="0"/>
      <w:divBdr>
        <w:top w:val="none" w:sz="0" w:space="0" w:color="auto"/>
        <w:left w:val="none" w:sz="0" w:space="0" w:color="auto"/>
        <w:bottom w:val="none" w:sz="0" w:space="0" w:color="auto"/>
        <w:right w:val="none" w:sz="0" w:space="0" w:color="auto"/>
      </w:divBdr>
      <w:divsChild>
        <w:div w:id="1034766389">
          <w:marLeft w:val="0"/>
          <w:marRight w:val="0"/>
          <w:marTop w:val="0"/>
          <w:marBottom w:val="0"/>
          <w:divBdr>
            <w:top w:val="none" w:sz="0" w:space="0" w:color="auto"/>
            <w:left w:val="none" w:sz="0" w:space="0" w:color="auto"/>
            <w:bottom w:val="none" w:sz="0" w:space="0" w:color="auto"/>
            <w:right w:val="none" w:sz="0" w:space="0" w:color="auto"/>
          </w:divBdr>
          <w:divsChild>
            <w:div w:id="530804488">
              <w:marLeft w:val="0"/>
              <w:marRight w:val="0"/>
              <w:marTop w:val="0"/>
              <w:marBottom w:val="0"/>
              <w:divBdr>
                <w:top w:val="none" w:sz="0" w:space="0" w:color="auto"/>
                <w:left w:val="none" w:sz="0" w:space="0" w:color="auto"/>
                <w:bottom w:val="none" w:sz="0" w:space="0" w:color="auto"/>
                <w:right w:val="none" w:sz="0" w:space="0" w:color="auto"/>
              </w:divBdr>
              <w:divsChild>
                <w:div w:id="1803187132">
                  <w:marLeft w:val="0"/>
                  <w:marRight w:val="0"/>
                  <w:marTop w:val="0"/>
                  <w:marBottom w:val="0"/>
                  <w:divBdr>
                    <w:top w:val="none" w:sz="0" w:space="0" w:color="auto"/>
                    <w:left w:val="none" w:sz="0" w:space="0" w:color="auto"/>
                    <w:bottom w:val="none" w:sz="0" w:space="0" w:color="auto"/>
                    <w:right w:val="none" w:sz="0" w:space="0" w:color="auto"/>
                  </w:divBdr>
                  <w:divsChild>
                    <w:div w:id="2355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859335">
      <w:bodyDiv w:val="1"/>
      <w:marLeft w:val="0"/>
      <w:marRight w:val="0"/>
      <w:marTop w:val="0"/>
      <w:marBottom w:val="0"/>
      <w:divBdr>
        <w:top w:val="none" w:sz="0" w:space="0" w:color="auto"/>
        <w:left w:val="none" w:sz="0" w:space="0" w:color="auto"/>
        <w:bottom w:val="none" w:sz="0" w:space="0" w:color="auto"/>
        <w:right w:val="none" w:sz="0" w:space="0" w:color="auto"/>
      </w:divBdr>
    </w:div>
    <w:div w:id="1193226101">
      <w:bodyDiv w:val="1"/>
      <w:marLeft w:val="0"/>
      <w:marRight w:val="0"/>
      <w:marTop w:val="0"/>
      <w:marBottom w:val="0"/>
      <w:divBdr>
        <w:top w:val="none" w:sz="0" w:space="0" w:color="auto"/>
        <w:left w:val="none" w:sz="0" w:space="0" w:color="auto"/>
        <w:bottom w:val="none" w:sz="0" w:space="0" w:color="auto"/>
        <w:right w:val="none" w:sz="0" w:space="0" w:color="auto"/>
      </w:divBdr>
    </w:div>
    <w:div w:id="1215507729">
      <w:bodyDiv w:val="1"/>
      <w:marLeft w:val="0"/>
      <w:marRight w:val="0"/>
      <w:marTop w:val="0"/>
      <w:marBottom w:val="0"/>
      <w:divBdr>
        <w:top w:val="none" w:sz="0" w:space="0" w:color="auto"/>
        <w:left w:val="none" w:sz="0" w:space="0" w:color="auto"/>
        <w:bottom w:val="none" w:sz="0" w:space="0" w:color="auto"/>
        <w:right w:val="none" w:sz="0" w:space="0" w:color="auto"/>
      </w:divBdr>
    </w:div>
    <w:div w:id="1315836649">
      <w:bodyDiv w:val="1"/>
      <w:marLeft w:val="0"/>
      <w:marRight w:val="0"/>
      <w:marTop w:val="0"/>
      <w:marBottom w:val="0"/>
      <w:divBdr>
        <w:top w:val="none" w:sz="0" w:space="0" w:color="auto"/>
        <w:left w:val="none" w:sz="0" w:space="0" w:color="auto"/>
        <w:bottom w:val="none" w:sz="0" w:space="0" w:color="auto"/>
        <w:right w:val="none" w:sz="0" w:space="0" w:color="auto"/>
      </w:divBdr>
    </w:div>
    <w:div w:id="1343821280">
      <w:bodyDiv w:val="1"/>
      <w:marLeft w:val="0"/>
      <w:marRight w:val="0"/>
      <w:marTop w:val="0"/>
      <w:marBottom w:val="0"/>
      <w:divBdr>
        <w:top w:val="none" w:sz="0" w:space="0" w:color="auto"/>
        <w:left w:val="none" w:sz="0" w:space="0" w:color="auto"/>
        <w:bottom w:val="none" w:sz="0" w:space="0" w:color="auto"/>
        <w:right w:val="none" w:sz="0" w:space="0" w:color="auto"/>
      </w:divBdr>
      <w:divsChild>
        <w:div w:id="1866677079">
          <w:marLeft w:val="0"/>
          <w:marRight w:val="0"/>
          <w:marTop w:val="0"/>
          <w:marBottom w:val="0"/>
          <w:divBdr>
            <w:top w:val="none" w:sz="0" w:space="0" w:color="auto"/>
            <w:left w:val="none" w:sz="0" w:space="0" w:color="auto"/>
            <w:bottom w:val="none" w:sz="0" w:space="0" w:color="auto"/>
            <w:right w:val="none" w:sz="0" w:space="0" w:color="auto"/>
          </w:divBdr>
        </w:div>
        <w:div w:id="1059406152">
          <w:marLeft w:val="0"/>
          <w:marRight w:val="0"/>
          <w:marTop w:val="0"/>
          <w:marBottom w:val="0"/>
          <w:divBdr>
            <w:top w:val="none" w:sz="0" w:space="0" w:color="auto"/>
            <w:left w:val="none" w:sz="0" w:space="0" w:color="auto"/>
            <w:bottom w:val="none" w:sz="0" w:space="0" w:color="auto"/>
            <w:right w:val="none" w:sz="0" w:space="0" w:color="auto"/>
          </w:divBdr>
          <w:divsChild>
            <w:div w:id="795879091">
              <w:marLeft w:val="0"/>
              <w:marRight w:val="0"/>
              <w:marTop w:val="240"/>
              <w:marBottom w:val="240"/>
              <w:divBdr>
                <w:top w:val="single" w:sz="6" w:space="12" w:color="CCCCCC"/>
                <w:left w:val="none" w:sz="0" w:space="0" w:color="auto"/>
                <w:bottom w:val="single" w:sz="6" w:space="12" w:color="CCCCCC"/>
                <w:right w:val="none" w:sz="0" w:space="0" w:color="auto"/>
              </w:divBdr>
              <w:divsChild>
                <w:div w:id="612902302">
                  <w:marLeft w:val="240"/>
                  <w:marRight w:val="0"/>
                  <w:marTop w:val="0"/>
                  <w:marBottom w:val="0"/>
                  <w:divBdr>
                    <w:top w:val="none" w:sz="0" w:space="0" w:color="auto"/>
                    <w:left w:val="none" w:sz="0" w:space="0" w:color="auto"/>
                    <w:bottom w:val="none" w:sz="0" w:space="0" w:color="auto"/>
                    <w:right w:val="none" w:sz="0" w:space="0" w:color="auto"/>
                  </w:divBdr>
                  <w:divsChild>
                    <w:div w:id="773674488">
                      <w:marLeft w:val="0"/>
                      <w:marRight w:val="0"/>
                      <w:marTop w:val="0"/>
                      <w:marBottom w:val="0"/>
                      <w:divBdr>
                        <w:top w:val="none" w:sz="0" w:space="0" w:color="auto"/>
                        <w:left w:val="none" w:sz="0" w:space="0" w:color="auto"/>
                        <w:bottom w:val="none" w:sz="0" w:space="0" w:color="auto"/>
                        <w:right w:val="none" w:sz="0" w:space="0" w:color="auto"/>
                      </w:divBdr>
                    </w:div>
                  </w:divsChild>
                </w:div>
                <w:div w:id="112272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897939">
          <w:marLeft w:val="0"/>
          <w:marRight w:val="0"/>
          <w:marTop w:val="0"/>
          <w:marBottom w:val="0"/>
          <w:divBdr>
            <w:top w:val="none" w:sz="0" w:space="0" w:color="auto"/>
            <w:left w:val="none" w:sz="0" w:space="0" w:color="auto"/>
            <w:bottom w:val="none" w:sz="0" w:space="0" w:color="auto"/>
            <w:right w:val="none" w:sz="0" w:space="0" w:color="auto"/>
          </w:divBdr>
        </w:div>
        <w:div w:id="1221794346">
          <w:marLeft w:val="0"/>
          <w:marRight w:val="0"/>
          <w:marTop w:val="0"/>
          <w:marBottom w:val="0"/>
          <w:divBdr>
            <w:top w:val="none" w:sz="0" w:space="0" w:color="auto"/>
            <w:left w:val="none" w:sz="0" w:space="0" w:color="auto"/>
            <w:bottom w:val="none" w:sz="0" w:space="0" w:color="auto"/>
            <w:right w:val="none" w:sz="0" w:space="0" w:color="auto"/>
          </w:divBdr>
        </w:div>
        <w:div w:id="169686482">
          <w:marLeft w:val="0"/>
          <w:marRight w:val="0"/>
          <w:marTop w:val="0"/>
          <w:marBottom w:val="0"/>
          <w:divBdr>
            <w:top w:val="none" w:sz="0" w:space="0" w:color="auto"/>
            <w:left w:val="none" w:sz="0" w:space="0" w:color="auto"/>
            <w:bottom w:val="none" w:sz="0" w:space="0" w:color="auto"/>
            <w:right w:val="none" w:sz="0" w:space="0" w:color="auto"/>
          </w:divBdr>
          <w:divsChild>
            <w:div w:id="1890413342">
              <w:marLeft w:val="0"/>
              <w:marRight w:val="0"/>
              <w:marTop w:val="240"/>
              <w:marBottom w:val="240"/>
              <w:divBdr>
                <w:top w:val="single" w:sz="6" w:space="12" w:color="CCCCCC"/>
                <w:left w:val="single" w:sz="2" w:space="12" w:color="CCCCCC"/>
                <w:bottom w:val="single" w:sz="6" w:space="12" w:color="CCCCCC"/>
                <w:right w:val="single" w:sz="2" w:space="12" w:color="CCCCCC"/>
              </w:divBdr>
              <w:divsChild>
                <w:div w:id="958293067">
                  <w:marLeft w:val="0"/>
                  <w:marRight w:val="0"/>
                  <w:marTop w:val="0"/>
                  <w:marBottom w:val="150"/>
                  <w:divBdr>
                    <w:top w:val="none" w:sz="0" w:space="0" w:color="auto"/>
                    <w:left w:val="none" w:sz="0" w:space="0" w:color="auto"/>
                    <w:bottom w:val="none" w:sz="0" w:space="0" w:color="auto"/>
                    <w:right w:val="none" w:sz="0" w:space="0" w:color="auto"/>
                  </w:divBdr>
                  <w:divsChild>
                    <w:div w:id="1447001779">
                      <w:marLeft w:val="0"/>
                      <w:marRight w:val="0"/>
                      <w:marTop w:val="0"/>
                      <w:marBottom w:val="0"/>
                      <w:divBdr>
                        <w:top w:val="none" w:sz="0" w:space="0" w:color="auto"/>
                        <w:left w:val="none" w:sz="0" w:space="0" w:color="auto"/>
                        <w:bottom w:val="none" w:sz="0" w:space="0" w:color="auto"/>
                        <w:right w:val="none" w:sz="0" w:space="0" w:color="auto"/>
                      </w:divBdr>
                    </w:div>
                    <w:div w:id="1243029131">
                      <w:marLeft w:val="0"/>
                      <w:marRight w:val="0"/>
                      <w:marTop w:val="0"/>
                      <w:marBottom w:val="0"/>
                      <w:divBdr>
                        <w:top w:val="none" w:sz="0" w:space="0" w:color="auto"/>
                        <w:left w:val="none" w:sz="0" w:space="0" w:color="auto"/>
                        <w:bottom w:val="none" w:sz="0" w:space="0" w:color="auto"/>
                        <w:right w:val="none" w:sz="0" w:space="0" w:color="auto"/>
                      </w:divBdr>
                    </w:div>
                  </w:divsChild>
                </w:div>
                <w:div w:id="950017015">
                  <w:marLeft w:val="0"/>
                  <w:marRight w:val="0"/>
                  <w:marTop w:val="0"/>
                  <w:marBottom w:val="0"/>
                  <w:divBdr>
                    <w:top w:val="none" w:sz="0" w:space="0" w:color="auto"/>
                    <w:left w:val="none" w:sz="0" w:space="0" w:color="auto"/>
                    <w:bottom w:val="none" w:sz="0" w:space="0" w:color="auto"/>
                    <w:right w:val="none" w:sz="0" w:space="0" w:color="auto"/>
                  </w:divBdr>
                </w:div>
                <w:div w:id="17719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677550">
      <w:bodyDiv w:val="1"/>
      <w:marLeft w:val="0"/>
      <w:marRight w:val="0"/>
      <w:marTop w:val="0"/>
      <w:marBottom w:val="0"/>
      <w:divBdr>
        <w:top w:val="none" w:sz="0" w:space="0" w:color="auto"/>
        <w:left w:val="none" w:sz="0" w:space="0" w:color="auto"/>
        <w:bottom w:val="none" w:sz="0" w:space="0" w:color="auto"/>
        <w:right w:val="none" w:sz="0" w:space="0" w:color="auto"/>
      </w:divBdr>
    </w:div>
    <w:div w:id="1356231935">
      <w:bodyDiv w:val="1"/>
      <w:marLeft w:val="0"/>
      <w:marRight w:val="0"/>
      <w:marTop w:val="0"/>
      <w:marBottom w:val="0"/>
      <w:divBdr>
        <w:top w:val="none" w:sz="0" w:space="0" w:color="auto"/>
        <w:left w:val="none" w:sz="0" w:space="0" w:color="auto"/>
        <w:bottom w:val="none" w:sz="0" w:space="0" w:color="auto"/>
        <w:right w:val="none" w:sz="0" w:space="0" w:color="auto"/>
      </w:divBdr>
      <w:divsChild>
        <w:div w:id="796220441">
          <w:marLeft w:val="0"/>
          <w:marRight w:val="0"/>
          <w:marTop w:val="0"/>
          <w:marBottom w:val="0"/>
          <w:divBdr>
            <w:top w:val="none" w:sz="0" w:space="0" w:color="auto"/>
            <w:left w:val="none" w:sz="0" w:space="0" w:color="auto"/>
            <w:bottom w:val="none" w:sz="0" w:space="0" w:color="auto"/>
            <w:right w:val="none" w:sz="0" w:space="0" w:color="auto"/>
          </w:divBdr>
          <w:divsChild>
            <w:div w:id="870456206">
              <w:marLeft w:val="0"/>
              <w:marRight w:val="0"/>
              <w:marTop w:val="0"/>
              <w:marBottom w:val="0"/>
              <w:divBdr>
                <w:top w:val="none" w:sz="0" w:space="0" w:color="auto"/>
                <w:left w:val="none" w:sz="0" w:space="0" w:color="auto"/>
                <w:bottom w:val="none" w:sz="0" w:space="0" w:color="auto"/>
                <w:right w:val="none" w:sz="0" w:space="0" w:color="auto"/>
              </w:divBdr>
              <w:divsChild>
                <w:div w:id="209789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424783">
      <w:bodyDiv w:val="1"/>
      <w:marLeft w:val="0"/>
      <w:marRight w:val="0"/>
      <w:marTop w:val="0"/>
      <w:marBottom w:val="0"/>
      <w:divBdr>
        <w:top w:val="none" w:sz="0" w:space="0" w:color="auto"/>
        <w:left w:val="none" w:sz="0" w:space="0" w:color="auto"/>
        <w:bottom w:val="none" w:sz="0" w:space="0" w:color="auto"/>
        <w:right w:val="none" w:sz="0" w:space="0" w:color="auto"/>
      </w:divBdr>
    </w:div>
    <w:div w:id="1474787120">
      <w:bodyDiv w:val="1"/>
      <w:marLeft w:val="0"/>
      <w:marRight w:val="0"/>
      <w:marTop w:val="0"/>
      <w:marBottom w:val="0"/>
      <w:divBdr>
        <w:top w:val="none" w:sz="0" w:space="0" w:color="auto"/>
        <w:left w:val="none" w:sz="0" w:space="0" w:color="auto"/>
        <w:bottom w:val="none" w:sz="0" w:space="0" w:color="auto"/>
        <w:right w:val="none" w:sz="0" w:space="0" w:color="auto"/>
      </w:divBdr>
    </w:div>
    <w:div w:id="1490291490">
      <w:bodyDiv w:val="1"/>
      <w:marLeft w:val="0"/>
      <w:marRight w:val="0"/>
      <w:marTop w:val="0"/>
      <w:marBottom w:val="0"/>
      <w:divBdr>
        <w:top w:val="none" w:sz="0" w:space="0" w:color="auto"/>
        <w:left w:val="none" w:sz="0" w:space="0" w:color="auto"/>
        <w:bottom w:val="none" w:sz="0" w:space="0" w:color="auto"/>
        <w:right w:val="none" w:sz="0" w:space="0" w:color="auto"/>
      </w:divBdr>
    </w:div>
    <w:div w:id="1498962173">
      <w:bodyDiv w:val="1"/>
      <w:marLeft w:val="0"/>
      <w:marRight w:val="0"/>
      <w:marTop w:val="0"/>
      <w:marBottom w:val="0"/>
      <w:divBdr>
        <w:top w:val="none" w:sz="0" w:space="0" w:color="auto"/>
        <w:left w:val="none" w:sz="0" w:space="0" w:color="auto"/>
        <w:bottom w:val="none" w:sz="0" w:space="0" w:color="auto"/>
        <w:right w:val="none" w:sz="0" w:space="0" w:color="auto"/>
      </w:divBdr>
      <w:divsChild>
        <w:div w:id="778065174">
          <w:marLeft w:val="0"/>
          <w:marRight w:val="0"/>
          <w:marTop w:val="0"/>
          <w:marBottom w:val="0"/>
          <w:divBdr>
            <w:top w:val="none" w:sz="0" w:space="0" w:color="auto"/>
            <w:left w:val="none" w:sz="0" w:space="0" w:color="auto"/>
            <w:bottom w:val="none" w:sz="0" w:space="0" w:color="auto"/>
            <w:right w:val="none" w:sz="0" w:space="0" w:color="auto"/>
          </w:divBdr>
          <w:divsChild>
            <w:div w:id="2102409121">
              <w:marLeft w:val="0"/>
              <w:marRight w:val="0"/>
              <w:marTop w:val="0"/>
              <w:marBottom w:val="0"/>
              <w:divBdr>
                <w:top w:val="none" w:sz="0" w:space="0" w:color="auto"/>
                <w:left w:val="none" w:sz="0" w:space="0" w:color="auto"/>
                <w:bottom w:val="none" w:sz="0" w:space="0" w:color="auto"/>
                <w:right w:val="none" w:sz="0" w:space="0" w:color="auto"/>
              </w:divBdr>
              <w:divsChild>
                <w:div w:id="47279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44664">
      <w:bodyDiv w:val="1"/>
      <w:marLeft w:val="0"/>
      <w:marRight w:val="0"/>
      <w:marTop w:val="0"/>
      <w:marBottom w:val="0"/>
      <w:divBdr>
        <w:top w:val="none" w:sz="0" w:space="0" w:color="auto"/>
        <w:left w:val="none" w:sz="0" w:space="0" w:color="auto"/>
        <w:bottom w:val="none" w:sz="0" w:space="0" w:color="auto"/>
        <w:right w:val="none" w:sz="0" w:space="0" w:color="auto"/>
      </w:divBdr>
    </w:div>
    <w:div w:id="1692679647">
      <w:bodyDiv w:val="1"/>
      <w:marLeft w:val="0"/>
      <w:marRight w:val="0"/>
      <w:marTop w:val="0"/>
      <w:marBottom w:val="0"/>
      <w:divBdr>
        <w:top w:val="none" w:sz="0" w:space="0" w:color="auto"/>
        <w:left w:val="none" w:sz="0" w:space="0" w:color="auto"/>
        <w:bottom w:val="none" w:sz="0" w:space="0" w:color="auto"/>
        <w:right w:val="none" w:sz="0" w:space="0" w:color="auto"/>
      </w:divBdr>
    </w:div>
    <w:div w:id="1783500234">
      <w:bodyDiv w:val="1"/>
      <w:marLeft w:val="0"/>
      <w:marRight w:val="0"/>
      <w:marTop w:val="0"/>
      <w:marBottom w:val="0"/>
      <w:divBdr>
        <w:top w:val="none" w:sz="0" w:space="0" w:color="auto"/>
        <w:left w:val="none" w:sz="0" w:space="0" w:color="auto"/>
        <w:bottom w:val="none" w:sz="0" w:space="0" w:color="auto"/>
        <w:right w:val="none" w:sz="0" w:space="0" w:color="auto"/>
      </w:divBdr>
    </w:div>
    <w:div w:id="1785267879">
      <w:bodyDiv w:val="1"/>
      <w:marLeft w:val="0"/>
      <w:marRight w:val="0"/>
      <w:marTop w:val="0"/>
      <w:marBottom w:val="0"/>
      <w:divBdr>
        <w:top w:val="none" w:sz="0" w:space="0" w:color="auto"/>
        <w:left w:val="none" w:sz="0" w:space="0" w:color="auto"/>
        <w:bottom w:val="none" w:sz="0" w:space="0" w:color="auto"/>
        <w:right w:val="none" w:sz="0" w:space="0" w:color="auto"/>
      </w:divBdr>
    </w:div>
    <w:div w:id="1802454465">
      <w:bodyDiv w:val="1"/>
      <w:marLeft w:val="0"/>
      <w:marRight w:val="0"/>
      <w:marTop w:val="0"/>
      <w:marBottom w:val="0"/>
      <w:divBdr>
        <w:top w:val="none" w:sz="0" w:space="0" w:color="auto"/>
        <w:left w:val="none" w:sz="0" w:space="0" w:color="auto"/>
        <w:bottom w:val="none" w:sz="0" w:space="0" w:color="auto"/>
        <w:right w:val="none" w:sz="0" w:space="0" w:color="auto"/>
      </w:divBdr>
    </w:div>
    <w:div w:id="1853062370">
      <w:bodyDiv w:val="1"/>
      <w:marLeft w:val="0"/>
      <w:marRight w:val="0"/>
      <w:marTop w:val="0"/>
      <w:marBottom w:val="0"/>
      <w:divBdr>
        <w:top w:val="none" w:sz="0" w:space="0" w:color="auto"/>
        <w:left w:val="none" w:sz="0" w:space="0" w:color="auto"/>
        <w:bottom w:val="none" w:sz="0" w:space="0" w:color="auto"/>
        <w:right w:val="none" w:sz="0" w:space="0" w:color="auto"/>
      </w:divBdr>
    </w:div>
    <w:div w:id="1861896597">
      <w:bodyDiv w:val="1"/>
      <w:marLeft w:val="0"/>
      <w:marRight w:val="0"/>
      <w:marTop w:val="0"/>
      <w:marBottom w:val="0"/>
      <w:divBdr>
        <w:top w:val="none" w:sz="0" w:space="0" w:color="auto"/>
        <w:left w:val="none" w:sz="0" w:space="0" w:color="auto"/>
        <w:bottom w:val="none" w:sz="0" w:space="0" w:color="auto"/>
        <w:right w:val="none" w:sz="0" w:space="0" w:color="auto"/>
      </w:divBdr>
    </w:div>
    <w:div w:id="1984193948">
      <w:bodyDiv w:val="1"/>
      <w:marLeft w:val="0"/>
      <w:marRight w:val="0"/>
      <w:marTop w:val="0"/>
      <w:marBottom w:val="0"/>
      <w:divBdr>
        <w:top w:val="none" w:sz="0" w:space="0" w:color="auto"/>
        <w:left w:val="none" w:sz="0" w:space="0" w:color="auto"/>
        <w:bottom w:val="none" w:sz="0" w:space="0" w:color="auto"/>
        <w:right w:val="none" w:sz="0" w:space="0" w:color="auto"/>
      </w:divBdr>
    </w:div>
    <w:div w:id="1994797847">
      <w:bodyDiv w:val="1"/>
      <w:marLeft w:val="0"/>
      <w:marRight w:val="0"/>
      <w:marTop w:val="0"/>
      <w:marBottom w:val="0"/>
      <w:divBdr>
        <w:top w:val="none" w:sz="0" w:space="0" w:color="auto"/>
        <w:left w:val="none" w:sz="0" w:space="0" w:color="auto"/>
        <w:bottom w:val="none" w:sz="0" w:space="0" w:color="auto"/>
        <w:right w:val="none" w:sz="0" w:space="0" w:color="auto"/>
      </w:divBdr>
    </w:div>
    <w:div w:id="2035617578">
      <w:bodyDiv w:val="1"/>
      <w:marLeft w:val="0"/>
      <w:marRight w:val="0"/>
      <w:marTop w:val="0"/>
      <w:marBottom w:val="0"/>
      <w:divBdr>
        <w:top w:val="none" w:sz="0" w:space="0" w:color="auto"/>
        <w:left w:val="none" w:sz="0" w:space="0" w:color="auto"/>
        <w:bottom w:val="none" w:sz="0" w:space="0" w:color="auto"/>
        <w:right w:val="none" w:sz="0" w:space="0" w:color="auto"/>
      </w:divBdr>
    </w:div>
    <w:div w:id="2066177295">
      <w:bodyDiv w:val="1"/>
      <w:marLeft w:val="0"/>
      <w:marRight w:val="0"/>
      <w:marTop w:val="0"/>
      <w:marBottom w:val="0"/>
      <w:divBdr>
        <w:top w:val="none" w:sz="0" w:space="0" w:color="auto"/>
        <w:left w:val="none" w:sz="0" w:space="0" w:color="auto"/>
        <w:bottom w:val="none" w:sz="0" w:space="0" w:color="auto"/>
        <w:right w:val="none" w:sz="0" w:space="0" w:color="auto"/>
      </w:divBdr>
    </w:div>
    <w:div w:id="2093625722">
      <w:bodyDiv w:val="1"/>
      <w:marLeft w:val="0"/>
      <w:marRight w:val="0"/>
      <w:marTop w:val="0"/>
      <w:marBottom w:val="0"/>
      <w:divBdr>
        <w:top w:val="none" w:sz="0" w:space="0" w:color="auto"/>
        <w:left w:val="none" w:sz="0" w:space="0" w:color="auto"/>
        <w:bottom w:val="none" w:sz="0" w:space="0" w:color="auto"/>
        <w:right w:val="none" w:sz="0" w:space="0" w:color="auto"/>
      </w:divBdr>
      <w:divsChild>
        <w:div w:id="1003700682">
          <w:marLeft w:val="0"/>
          <w:marRight w:val="0"/>
          <w:marTop w:val="0"/>
          <w:marBottom w:val="0"/>
          <w:divBdr>
            <w:top w:val="none" w:sz="0" w:space="0" w:color="auto"/>
            <w:left w:val="none" w:sz="0" w:space="0" w:color="auto"/>
            <w:bottom w:val="none" w:sz="0" w:space="0" w:color="auto"/>
            <w:right w:val="none" w:sz="0" w:space="0" w:color="auto"/>
          </w:divBdr>
          <w:divsChild>
            <w:div w:id="1898933083">
              <w:marLeft w:val="0"/>
              <w:marRight w:val="0"/>
              <w:marTop w:val="0"/>
              <w:marBottom w:val="0"/>
              <w:divBdr>
                <w:top w:val="none" w:sz="0" w:space="0" w:color="auto"/>
                <w:left w:val="none" w:sz="0" w:space="0" w:color="auto"/>
                <w:bottom w:val="none" w:sz="0" w:space="0" w:color="auto"/>
                <w:right w:val="none" w:sz="0" w:space="0" w:color="auto"/>
              </w:divBdr>
              <w:divsChild>
                <w:div w:id="792746250">
                  <w:marLeft w:val="0"/>
                  <w:marRight w:val="0"/>
                  <w:marTop w:val="0"/>
                  <w:marBottom w:val="0"/>
                  <w:divBdr>
                    <w:top w:val="none" w:sz="0" w:space="0" w:color="auto"/>
                    <w:left w:val="none" w:sz="0" w:space="0" w:color="auto"/>
                    <w:bottom w:val="none" w:sz="0" w:space="0" w:color="auto"/>
                    <w:right w:val="none" w:sz="0" w:space="0" w:color="auto"/>
                  </w:divBdr>
                  <w:divsChild>
                    <w:div w:id="21422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99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lid.ali10@nh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19DE4-FFC6-4135-A16F-24D2B33E8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15549</Words>
  <Characters>88631</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103973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Hussain20,A (ug)</dc:creator>
  <cp:lastModifiedBy>Ahmed Hussain</cp:lastModifiedBy>
  <cp:revision>30</cp:revision>
  <dcterms:created xsi:type="dcterms:W3CDTF">2022-04-25T11:38:00Z</dcterms:created>
  <dcterms:modified xsi:type="dcterms:W3CDTF">2022-04-30T15:14:00Z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http://www.zotero.org/styles/age-and-ageing</vt:lpwstr>
  </property>
  <property fmtid="{D5CDD505-2E9C-101B-9397-08002B2CF9AE}" pid="3" name="Mendeley Recent Style Name 0_1">
    <vt:lpwstr>Age and Ageing</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http://www.zotero.org/styles/modern-language-association</vt:lpwstr>
  </property>
  <property fmtid="{D5CDD505-2E9C-101B-9397-08002B2CF9AE}" pid="13" name="Mendeley Recent Style Name 5_1">
    <vt:lpwstr>Modern Language Association 8th edition</vt:lpwstr>
  </property>
  <property fmtid="{D5CDD505-2E9C-101B-9397-08002B2CF9AE}" pid="14" name="Mendeley Recent Style Id 6_1">
    <vt:lpwstr>http://www.zotero.org/styles/sage-harvard</vt:lpwstr>
  </property>
  <property fmtid="{D5CDD505-2E9C-101B-9397-08002B2CF9AE}" pid="15" name="Mendeley Recent Style Name 6_1">
    <vt:lpwstr>SAGE - Harvard</vt:lpwstr>
  </property>
  <property fmtid="{D5CDD505-2E9C-101B-9397-08002B2CF9AE}" pid="16" name="Mendeley Recent Style Id 7_1">
    <vt:lpwstr>http://www.zotero.org/styles/taylor-and-francis-apa</vt:lpwstr>
  </property>
  <property fmtid="{D5CDD505-2E9C-101B-9397-08002B2CF9AE}" pid="17" name="Mendeley Recent Style Name 7_1">
    <vt:lpwstr>Taylor &amp; Francis - APA</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http://csl.mendeley.com/styles/607807401/vancouver-2</vt:lpwstr>
  </property>
  <property fmtid="{D5CDD505-2E9C-101B-9397-08002B2CF9AE}" pid="21" name="Mendeley Recent Style Name 9_1">
    <vt:lpwstr>Vancouver - Ahmed Hussain</vt:lpwstr>
  </property>
  <property fmtid="{D5CDD505-2E9C-101B-9397-08002B2CF9AE}" pid="22" name="Mendeley Document_1">
    <vt:lpwstr>True</vt:lpwstr>
  </property>
  <property fmtid="{D5CDD505-2E9C-101B-9397-08002B2CF9AE}" pid="23" name="Mendeley Unique User Id_1">
    <vt:lpwstr>0de3b5df-3ea6-3bb6-b3da-b3b3b985095c</vt:lpwstr>
  </property>
  <property fmtid="{D5CDD505-2E9C-101B-9397-08002B2CF9AE}" pid="24" name="Mendeley Citation Style_1">
    <vt:lpwstr>http://www.zotero.org/styles/vancouver</vt:lpwstr>
  </property>
</Properties>
</file>